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auto"/>
        <w:spacing w:line="320" w:lineRule="atLeast"/>
        <w:ind w:firstLine="2016"/>
        <w:rPr>
          <w:rFonts w:ascii="Times New Roman" w:hAnsi="Times New Roman" w:cs="Times New Roman"/>
          <w:color w:val="FF0000"/>
          <w:szCs w:val="24"/>
          <w:highlight w:val="none"/>
        </w:rPr>
      </w:pPr>
      <w:r>
        <w:rPr>
          <w:rFonts w:hint="eastAsia" w:ascii="隶书" w:hAnsi="隶书" w:eastAsia="隶书" w:cs="Times New Roman"/>
          <w:b/>
          <w:bCs/>
          <w:color w:val="FF0000"/>
          <w:w w:val="90"/>
          <w:sz w:val="112"/>
          <w:szCs w:val="24"/>
          <w:highlight w:val="none"/>
        </w:rPr>
        <w:t>教 学 简 报</w:t>
      </w:r>
    </w:p>
    <w:p>
      <w:pPr>
        <w:shd w:val="clear" w:color="auto" w:fill="auto"/>
        <w:spacing w:line="320" w:lineRule="atLeast"/>
        <w:ind w:firstLine="0" w:firstLineChars="0"/>
        <w:jc w:val="center"/>
        <w:rPr>
          <w:rFonts w:ascii="仿宋_GB2312" w:hAnsi="仿宋_GB2312" w:eastAsia="仿宋_GB2312" w:cs="Times New Roman"/>
          <w:b/>
          <w:sz w:val="28"/>
          <w:szCs w:val="28"/>
          <w:highlight w:val="none"/>
        </w:rPr>
      </w:pPr>
      <w:r>
        <w:rPr>
          <w:rFonts w:hint="eastAsia" w:ascii="仿宋_GB2312" w:hAnsi="仿宋_GB2312" w:eastAsia="仿宋_GB2312" w:cs="Times New Roman"/>
          <w:b/>
          <w:sz w:val="28"/>
          <w:szCs w:val="28"/>
          <w:highlight w:val="none"/>
        </w:rPr>
        <w:t>安徽三联学院教务处 编印   第8期（总第2</w:t>
      </w:r>
      <w:r>
        <w:rPr>
          <w:rFonts w:hint="eastAsia" w:ascii="仿宋_GB2312" w:hAnsi="仿宋_GB2312" w:eastAsia="仿宋_GB2312" w:cs="Times New Roman"/>
          <w:b/>
          <w:sz w:val="28"/>
          <w:szCs w:val="28"/>
          <w:highlight w:val="none"/>
          <w:lang w:val="en-US" w:eastAsia="zh-CN"/>
        </w:rPr>
        <w:t>5</w:t>
      </w:r>
      <w:r>
        <w:rPr>
          <w:rFonts w:hint="eastAsia" w:ascii="仿宋_GB2312" w:hAnsi="仿宋_GB2312" w:eastAsia="仿宋_GB2312" w:cs="Times New Roman"/>
          <w:b/>
          <w:sz w:val="28"/>
          <w:szCs w:val="28"/>
          <w:highlight w:val="none"/>
        </w:rPr>
        <w:t>期） 2014年11月30日</w:t>
      </w:r>
    </w:p>
    <w:p>
      <w:pPr>
        <w:shd w:val="clear" w:color="auto" w:fill="auto"/>
        <w:spacing w:line="320" w:lineRule="atLeast"/>
        <w:ind w:firstLine="0" w:firstLineChars="0"/>
        <w:rPr>
          <w:rFonts w:ascii="仿宋_GB2312" w:hAnsi="仿宋_GB2312" w:eastAsia="仿宋_GB2312" w:cs="Times New Roman"/>
          <w:b/>
          <w:sz w:val="28"/>
          <w:szCs w:val="28"/>
          <w:highlight w:val="none"/>
        </w:rPr>
      </w:pPr>
      <w:r>
        <w:rPr>
          <w:rFonts w:ascii="Adobe 仿宋 Std R" w:hAnsi="Adobe 仿宋 Std R" w:eastAsia="Adobe 仿宋 Std R" w:cs="Times New Roman"/>
          <w:b/>
          <w:kern w:val="2"/>
          <w:sz w:val="21"/>
          <w:szCs w:val="24"/>
          <w:highlight w:val="none"/>
          <w:lang w:val="en-US" w:eastAsia="zh-CN" w:bidi="ar-SA"/>
        </w:rPr>
        <w:pict>
          <v:line id="Line 13" o:spid="_x0000_s1033" style="position:absolute;left:0;margin-left:0pt;margin-top:0pt;height:0.05pt;width:477pt;rotation:0f;z-index:251664384;" o:ole="f" fillcolor="#FFFFFF" filled="f" o:preferrelative="t" stroked="t" coordsize="21600,21600">
            <v:fill on="f" color2="#FFFFFF" focus="0%"/>
            <v:stroke weight="4.5pt" color="#FF0000" color2="#FFFFFF" linestyle="thickThin" miterlimit="2"/>
            <v:imagedata gain="65536f" blacklevel="0f" gamma="0"/>
            <o:lock v:ext="edit" position="f" selection="f" grouping="f" rotation="f" cropping="f" text="f" aspectratio="f"/>
          </v:line>
        </w:pict>
      </w:r>
    </w:p>
    <w:p>
      <w:pPr>
        <w:shd w:val="clear" w:color="auto" w:fill="auto"/>
        <w:spacing w:line="320" w:lineRule="atLeast"/>
        <w:ind w:firstLine="414" w:firstLineChars="94"/>
        <w:jc w:val="center"/>
        <w:rPr>
          <w:rFonts w:ascii="华文新魏" w:hAnsi="Times New Roman" w:eastAsia="华文新魏" w:cs="Times New Roman"/>
          <w:b/>
          <w:bCs/>
          <w:sz w:val="44"/>
          <w:szCs w:val="36"/>
          <w:highlight w:val="none"/>
        </w:rPr>
      </w:pPr>
      <w:r>
        <w:rPr>
          <w:rFonts w:hint="eastAsia" w:ascii="华文新魏" w:hAnsi="Times New Roman" w:eastAsia="华文新魏" w:cs="Times New Roman"/>
          <w:b/>
          <w:bCs/>
          <w:sz w:val="44"/>
          <w:szCs w:val="36"/>
          <w:highlight w:val="none"/>
        </w:rPr>
        <w:t>本  期  导  读</w:t>
      </w:r>
    </w:p>
    <w:p>
      <w:pPr>
        <w:shd w:val="clear" w:color="auto" w:fill="auto"/>
        <w:spacing w:line="480" w:lineRule="exact"/>
        <w:ind w:firstLine="0" w:firstLineChars="0"/>
        <w:rPr>
          <w:rFonts w:ascii="方正隶二简体" w:hAnsi="Times New Roman" w:eastAsia="方正隶二简体" w:cs="Times New Roman"/>
          <w:b/>
          <w:bCs/>
          <w:sz w:val="36"/>
          <w:szCs w:val="36"/>
          <w:highlight w:val="none"/>
        </w:rPr>
      </w:pPr>
      <w:r>
        <w:rPr>
          <w:rFonts w:hint="eastAsia" w:ascii="方正隶二简体" w:hAnsi="Times New Roman" w:eastAsia="方正隶二简体" w:cs="Times New Roman"/>
          <w:b/>
          <w:color w:val="FF0000"/>
          <w:sz w:val="36"/>
          <w:szCs w:val="36"/>
          <w:highlight w:val="none"/>
        </w:rPr>
        <w:t>★</w:t>
      </w:r>
      <w:r>
        <w:rPr>
          <w:rFonts w:hint="eastAsia" w:ascii="方正隶二简体" w:hAnsi="Times New Roman" w:eastAsia="方正隶二简体" w:cs="Times New Roman"/>
          <w:b/>
          <w:sz w:val="36"/>
          <w:szCs w:val="36"/>
          <w:highlight w:val="none"/>
        </w:rPr>
        <w:t xml:space="preserve"> </w:t>
      </w:r>
      <w:r>
        <w:rPr>
          <w:rFonts w:hint="eastAsia" w:ascii="方正隶二简体" w:hAnsi="Times New Roman" w:eastAsia="方正隶二简体" w:cs="Times New Roman"/>
          <w:b/>
          <w:bCs/>
          <w:sz w:val="36"/>
          <w:szCs w:val="36"/>
          <w:highlight w:val="none"/>
        </w:rPr>
        <w:t>高教动态</w:t>
      </w:r>
    </w:p>
    <w:p>
      <w:pPr>
        <w:shd w:val="clear" w:color="auto" w:fill="auto"/>
        <w:spacing w:line="480" w:lineRule="exact"/>
        <w:ind w:firstLine="482" w:firstLineChars="0"/>
        <w:rPr>
          <w:rFonts w:ascii="仿宋_GB2312" w:hAnsi="华文仿宋" w:eastAsia="仿宋_GB2312" w:cs="Times New Roman"/>
          <w:sz w:val="28"/>
          <w:szCs w:val="28"/>
          <w:highlight w:val="none"/>
        </w:rPr>
      </w:pPr>
      <w:r>
        <w:rPr>
          <w:rFonts w:hint="eastAsia" w:ascii="隶书" w:hAnsi="隶书" w:eastAsia="隶书" w:cs="Times New Roman"/>
          <w:b/>
          <w:sz w:val="32"/>
          <w:szCs w:val="32"/>
          <w:highlight w:val="none"/>
        </w:rPr>
        <w:t>·</w:t>
      </w:r>
      <w:r>
        <w:rPr>
          <w:rFonts w:hint="eastAsia" w:ascii="仿宋_GB2312" w:hAnsi="华文仿宋" w:eastAsia="仿宋_GB2312" w:cs="Times New Roman"/>
          <w:sz w:val="28"/>
          <w:szCs w:val="28"/>
          <w:highlight w:val="none"/>
        </w:rPr>
        <w:t xml:space="preserve">教育部发布首份《中国工程教育质量报告》 </w:t>
      </w:r>
    </w:p>
    <w:p>
      <w:pPr>
        <w:shd w:val="clear" w:color="auto" w:fill="auto"/>
        <w:spacing w:line="480" w:lineRule="exact"/>
        <w:ind w:firstLine="482" w:firstLineChars="0"/>
        <w:rPr>
          <w:rFonts w:hint="eastAsia" w:ascii="仿宋_GB2312" w:hAnsi="华文仿宋" w:eastAsia="仿宋_GB2312" w:cs="Times New Roman"/>
          <w:sz w:val="28"/>
          <w:szCs w:val="28"/>
          <w:highlight w:val="none"/>
        </w:rPr>
      </w:pPr>
      <w:r>
        <w:rPr>
          <w:rFonts w:hint="eastAsia" w:ascii="隶书" w:hAnsi="隶书" w:eastAsia="隶书" w:cs="Times New Roman"/>
          <w:b/>
          <w:sz w:val="32"/>
          <w:szCs w:val="32"/>
          <w:highlight w:val="none"/>
        </w:rPr>
        <w:t>·</w:t>
      </w:r>
      <w:r>
        <w:rPr>
          <w:rFonts w:hint="eastAsia" w:ascii="仿宋_GB2312" w:hAnsi="华文仿宋" w:eastAsia="仿宋_GB2312" w:cs="Times New Roman"/>
          <w:sz w:val="28"/>
          <w:szCs w:val="28"/>
          <w:highlight w:val="none"/>
        </w:rPr>
        <w:t>高校思想政治理论课教研创新论坛（2014）在京举行</w:t>
      </w:r>
    </w:p>
    <w:p>
      <w:pPr>
        <w:shd w:val="clear" w:color="auto" w:fill="auto"/>
        <w:spacing w:line="480" w:lineRule="exact"/>
        <w:ind w:firstLine="482" w:firstLineChars="0"/>
        <w:rPr>
          <w:rFonts w:ascii="仿宋_GB2312" w:hAnsi="华文仿宋" w:eastAsia="仿宋_GB2312" w:cs="Times New Roman"/>
          <w:sz w:val="28"/>
          <w:szCs w:val="28"/>
          <w:highlight w:val="none"/>
        </w:rPr>
      </w:pPr>
      <w:r>
        <w:rPr>
          <w:rFonts w:hint="eastAsia" w:ascii="隶书" w:hAnsi="隶书" w:eastAsia="隶书" w:cs="Times New Roman"/>
          <w:b/>
          <w:sz w:val="32"/>
          <w:szCs w:val="32"/>
          <w:highlight w:val="none"/>
        </w:rPr>
        <w:t>·</w:t>
      </w:r>
      <w:r>
        <w:rPr>
          <w:rFonts w:hint="eastAsia" w:ascii="仿宋_GB2312" w:hAnsi="华文仿宋" w:eastAsia="仿宋_GB2312" w:cs="Times New Roman"/>
          <w:sz w:val="28"/>
          <w:szCs w:val="28"/>
          <w:highlight w:val="none"/>
        </w:rPr>
        <w:t>论文检测助推高等教育质量</w:t>
      </w:r>
      <w:r>
        <w:rPr>
          <w:rFonts w:hint="eastAsia" w:ascii="仿宋_GB2312" w:hAnsi="华文仿宋" w:eastAsia="仿宋_GB2312" w:cs="Times New Roman"/>
          <w:sz w:val="28"/>
          <w:szCs w:val="28"/>
          <w:highlight w:val="none"/>
          <w:lang w:val="en-US" w:eastAsia="zh-CN"/>
        </w:rPr>
        <w:t xml:space="preserve"> </w:t>
      </w:r>
      <w:r>
        <w:rPr>
          <w:rFonts w:hint="eastAsia" w:ascii="仿宋_GB2312" w:hAnsi="华文仿宋" w:eastAsia="仿宋_GB2312" w:cs="Times New Roman"/>
          <w:sz w:val="28"/>
          <w:szCs w:val="28"/>
          <w:highlight w:val="none"/>
        </w:rPr>
        <w:t xml:space="preserve">提高经验交流与研讨会在西华大学召开                                                                                                                                                                                                                                                                                                                                                                                                                                                                                                                                                                                                                                                                                                                                                                                                                                                                                                                                                                                                                                                                                                                                                                                                                                                                                                                                                                                                                                                                                                                                                                                                                                                                                                                                                                                                                                                                                                                                                                                                                                                                                                                                                                                                                                                                                                                                                                                                                                                                                                                                                                                                                                                                                                                                                                                                                                                                                                                                                                                                                                                                                                                                                                                                                                                                                                                                                                                                                                                                                                                                                                                                                                                                                                                                                                                                                                                                                                                                                                                                                                                                                                                                                                                                                                                                                                                                                                                                                                                                                                                            </w:t>
      </w:r>
    </w:p>
    <w:p>
      <w:pPr>
        <w:shd w:val="clear" w:color="auto" w:fill="auto"/>
        <w:spacing w:line="480" w:lineRule="exact"/>
        <w:ind w:firstLine="0" w:firstLineChars="0"/>
        <w:rPr>
          <w:rFonts w:ascii="方正隶二简体" w:hAnsi="Times New Roman" w:eastAsia="方正隶二简体" w:cs="Times New Roman"/>
          <w:b/>
          <w:bCs/>
          <w:sz w:val="36"/>
          <w:szCs w:val="36"/>
          <w:highlight w:val="none"/>
        </w:rPr>
      </w:pPr>
      <w:r>
        <w:rPr>
          <w:rFonts w:hint="eastAsia" w:ascii="方正隶二简体" w:hAnsi="Times New Roman" w:eastAsia="方正隶二简体" w:cs="Times New Roman"/>
          <w:b/>
          <w:color w:val="FF0000"/>
          <w:sz w:val="36"/>
          <w:szCs w:val="36"/>
          <w:highlight w:val="none"/>
        </w:rPr>
        <w:t>★</w:t>
      </w:r>
      <w:r>
        <w:rPr>
          <w:rFonts w:hint="eastAsia" w:ascii="方正隶二简体" w:hAnsi="Times New Roman" w:eastAsia="方正隶二简体" w:cs="Times New Roman"/>
          <w:b/>
          <w:bCs/>
          <w:sz w:val="36"/>
          <w:szCs w:val="36"/>
          <w:highlight w:val="none"/>
        </w:rPr>
        <w:t xml:space="preserve"> 工作简讯</w:t>
      </w:r>
    </w:p>
    <w:p>
      <w:pPr>
        <w:shd w:val="clear" w:color="auto" w:fill="auto"/>
        <w:spacing w:line="480" w:lineRule="exact"/>
        <w:ind w:firstLine="482" w:firstLineChars="0"/>
        <w:rPr>
          <w:rFonts w:ascii="隶书" w:hAnsi="隶书" w:eastAsia="隶书" w:cs="Times New Roman"/>
          <w:b/>
          <w:sz w:val="32"/>
          <w:szCs w:val="32"/>
          <w:highlight w:val="none"/>
        </w:rPr>
      </w:pPr>
      <w:r>
        <w:rPr>
          <w:rFonts w:hint="eastAsia" w:ascii="隶书" w:hAnsi="隶书" w:eastAsia="隶书" w:cs="Times New Roman"/>
          <w:b/>
          <w:sz w:val="32"/>
          <w:szCs w:val="32"/>
          <w:highlight w:val="none"/>
        </w:rPr>
        <w:t>·</w:t>
      </w:r>
      <w:r>
        <w:rPr>
          <w:rFonts w:hint="eastAsia" w:ascii="仿宋_GB2312" w:hAnsi="华文仿宋" w:eastAsia="仿宋_GB2312" w:cs="Times New Roman"/>
          <w:sz w:val="28"/>
          <w:szCs w:val="28"/>
          <w:highlight w:val="none"/>
        </w:rPr>
        <w:t>我校11月份教育教学工作动态</w:t>
      </w:r>
    </w:p>
    <w:p>
      <w:pPr>
        <w:shd w:val="clear" w:color="auto" w:fill="auto"/>
        <w:spacing w:line="480" w:lineRule="exact"/>
        <w:ind w:firstLine="0" w:firstLineChars="0"/>
        <w:rPr>
          <w:rFonts w:ascii="隶书" w:hAnsi="隶书" w:eastAsia="隶书" w:cs="Times New Roman"/>
          <w:b/>
          <w:sz w:val="32"/>
          <w:szCs w:val="32"/>
          <w:highlight w:val="none"/>
        </w:rPr>
      </w:pPr>
      <w:r>
        <w:rPr>
          <w:rFonts w:hint="eastAsia" w:ascii="方正隶二简体" w:hAnsi="Times New Roman" w:eastAsia="方正隶二简体" w:cs="Times New Roman"/>
          <w:b/>
          <w:color w:val="FF0000"/>
          <w:sz w:val="36"/>
          <w:szCs w:val="36"/>
          <w:highlight w:val="none"/>
        </w:rPr>
        <w:t>★</w:t>
      </w:r>
      <w:r>
        <w:rPr>
          <w:rFonts w:hint="eastAsia" w:ascii="方正隶二简体" w:hAnsi="Times New Roman" w:eastAsia="方正隶二简体" w:cs="Times New Roman"/>
          <w:b/>
          <w:sz w:val="36"/>
          <w:szCs w:val="36"/>
          <w:highlight w:val="none"/>
        </w:rPr>
        <w:t xml:space="preserve"> </w:t>
      </w:r>
      <w:r>
        <w:rPr>
          <w:rFonts w:hint="eastAsia" w:ascii="方正隶二简体" w:hAnsi="Times New Roman" w:eastAsia="方正隶二简体" w:cs="Times New Roman"/>
          <w:b/>
          <w:bCs/>
          <w:sz w:val="36"/>
          <w:szCs w:val="36"/>
          <w:highlight w:val="none"/>
        </w:rPr>
        <w:t>评建专题</w:t>
      </w:r>
      <w:r>
        <w:rPr>
          <w:rFonts w:ascii="方正隶二简体" w:hAnsi="Times New Roman" w:eastAsia="方正隶二简体" w:cs="Times New Roman"/>
          <w:b/>
          <w:bCs/>
          <w:sz w:val="36"/>
          <w:szCs w:val="36"/>
          <w:highlight w:val="none"/>
        </w:rPr>
        <w:t xml:space="preserve"> </w:t>
      </w:r>
    </w:p>
    <w:p>
      <w:pPr>
        <w:shd w:val="clear" w:color="auto" w:fill="auto"/>
        <w:spacing w:line="480" w:lineRule="exact"/>
        <w:ind w:firstLine="482" w:firstLineChars="0"/>
        <w:rPr>
          <w:rFonts w:ascii="仿宋_GB2312" w:hAnsi="华文仿宋" w:eastAsia="仿宋_GB2312" w:cs="Times New Roman"/>
          <w:sz w:val="28"/>
          <w:szCs w:val="28"/>
          <w:highlight w:val="none"/>
        </w:rPr>
      </w:pPr>
      <w:r>
        <w:rPr>
          <w:rFonts w:hint="eastAsia" w:ascii="隶书" w:hAnsi="隶书" w:eastAsia="隶书" w:cs="Times New Roman"/>
          <w:b/>
          <w:sz w:val="32"/>
          <w:szCs w:val="32"/>
          <w:highlight w:val="none"/>
        </w:rPr>
        <w:t>·</w:t>
      </w:r>
      <w:r>
        <w:rPr>
          <w:rFonts w:hint="eastAsia" w:ascii="仿宋_GB2312" w:hAnsi="华文仿宋" w:eastAsia="仿宋_GB2312" w:cs="Times New Roman"/>
          <w:sz w:val="28"/>
          <w:szCs w:val="28"/>
          <w:highlight w:val="none"/>
        </w:rPr>
        <w:t>我校11月份评建工作动态</w:t>
      </w:r>
    </w:p>
    <w:p>
      <w:pPr>
        <w:shd w:val="clear" w:color="auto" w:fill="auto"/>
        <w:spacing w:line="480" w:lineRule="exact"/>
        <w:ind w:firstLine="0" w:firstLineChars="0"/>
        <w:rPr>
          <w:rFonts w:ascii="方正隶二简体" w:hAnsi="Times New Roman" w:eastAsia="方正隶二简体" w:cs="Times New Roman"/>
          <w:sz w:val="36"/>
          <w:szCs w:val="36"/>
          <w:highlight w:val="none"/>
        </w:rPr>
      </w:pPr>
      <w:r>
        <w:rPr>
          <w:rFonts w:hint="eastAsia" w:ascii="方正隶二简体" w:hAnsi="Times New Roman" w:eastAsia="方正隶二简体" w:cs="Times New Roman"/>
          <w:b/>
          <w:color w:val="FF0000"/>
          <w:sz w:val="36"/>
          <w:szCs w:val="36"/>
          <w:highlight w:val="none"/>
        </w:rPr>
        <w:t>★</w:t>
      </w:r>
      <w:r>
        <w:rPr>
          <w:rFonts w:hint="eastAsia" w:ascii="方正隶二简体" w:hAnsi="Times New Roman" w:eastAsia="方正隶二简体" w:cs="Times New Roman"/>
          <w:b/>
          <w:sz w:val="36"/>
          <w:szCs w:val="36"/>
          <w:highlight w:val="none"/>
        </w:rPr>
        <w:t xml:space="preserve"> </w:t>
      </w:r>
      <w:r>
        <w:rPr>
          <w:rFonts w:hint="eastAsia" w:ascii="方正隶二简体" w:hAnsi="Times New Roman" w:eastAsia="方正隶二简体" w:cs="Times New Roman"/>
          <w:b/>
          <w:bCs/>
          <w:sz w:val="36"/>
          <w:szCs w:val="36"/>
          <w:highlight w:val="none"/>
        </w:rPr>
        <w:t>学习园地</w:t>
      </w:r>
    </w:p>
    <w:p>
      <w:pPr>
        <w:shd w:val="clear" w:color="auto" w:fill="auto"/>
        <w:spacing w:line="480" w:lineRule="exact"/>
        <w:ind w:firstLine="482" w:firstLineChars="0"/>
        <w:rPr>
          <w:rFonts w:hint="eastAsia" w:ascii="仿宋_GB2312" w:hAnsi="华文仿宋" w:eastAsia="仿宋_GB2312" w:cs="Times New Roman"/>
          <w:sz w:val="28"/>
          <w:szCs w:val="28"/>
          <w:highlight w:val="none"/>
          <w:lang w:val="en-US" w:eastAsia="zh-CN"/>
        </w:rPr>
      </w:pPr>
      <w:r>
        <w:rPr>
          <w:rFonts w:hint="eastAsia" w:ascii="隶书" w:hAnsi="隶书" w:eastAsia="隶书" w:cs="Times New Roman"/>
          <w:b/>
          <w:sz w:val="32"/>
          <w:szCs w:val="32"/>
          <w:highlight w:val="none"/>
        </w:rPr>
        <w:t>·</w:t>
      </w:r>
      <w:r>
        <w:rPr>
          <w:rFonts w:hint="eastAsia" w:ascii="仿宋_GB2312" w:hAnsi="华文仿宋" w:eastAsia="仿宋_GB2312" w:cs="Times New Roman"/>
          <w:sz w:val="28"/>
          <w:szCs w:val="28"/>
          <w:highlight w:val="none"/>
          <w:lang w:val="en-US" w:eastAsia="zh-CN"/>
        </w:rPr>
        <w:t>教育部关于开展现代学徒制试点工作的意见（教职成[2014]9号）</w:t>
      </w:r>
    </w:p>
    <w:p>
      <w:pPr>
        <w:shd w:val="clear" w:color="auto" w:fill="auto"/>
        <w:spacing w:line="480" w:lineRule="exact"/>
        <w:ind w:firstLine="482" w:firstLineChars="0"/>
        <w:rPr>
          <w:rFonts w:ascii="仿宋_GB2312" w:hAnsi="华文仿宋" w:eastAsia="仿宋_GB2312" w:cs="Times New Roman"/>
          <w:sz w:val="28"/>
          <w:szCs w:val="28"/>
          <w:highlight w:val="none"/>
        </w:rPr>
      </w:pPr>
      <w:r>
        <w:rPr>
          <w:rFonts w:hint="eastAsia" w:ascii="隶书" w:hAnsi="隶书" w:eastAsia="隶书" w:cs="Times New Roman"/>
          <w:b/>
          <w:sz w:val="32"/>
          <w:szCs w:val="32"/>
          <w:highlight w:val="none"/>
        </w:rPr>
        <w:t>·</w:t>
      </w:r>
      <w:r>
        <w:rPr>
          <w:rFonts w:hint="eastAsia" w:ascii="仿宋_GB2312" w:hAnsi="华文仿宋" w:eastAsia="仿宋_GB2312" w:cs="Times New Roman"/>
          <w:sz w:val="28"/>
          <w:szCs w:val="28"/>
          <w:highlight w:val="none"/>
          <w:lang w:val="en-US" w:eastAsia="zh-CN"/>
        </w:rPr>
        <w:t>做党和人民满意的好老师</w:t>
      </w:r>
    </w:p>
    <w:p>
      <w:pPr>
        <w:shd w:val="clear" w:color="auto" w:fill="auto"/>
        <w:spacing w:line="480" w:lineRule="exact"/>
        <w:ind w:firstLine="0" w:firstLineChars="0"/>
        <w:rPr>
          <w:rFonts w:ascii="方正隶二简体" w:hAnsi="Times New Roman" w:eastAsia="方正隶二简体" w:cs="Times New Roman"/>
          <w:b/>
          <w:bCs/>
          <w:sz w:val="36"/>
          <w:szCs w:val="36"/>
          <w:highlight w:val="none"/>
        </w:rPr>
      </w:pPr>
      <w:r>
        <w:rPr>
          <w:rFonts w:hint="eastAsia" w:ascii="方正隶二简体" w:hAnsi="Times New Roman" w:eastAsia="方正隶二简体" w:cs="Times New Roman"/>
          <w:b/>
          <w:color w:val="FF0000"/>
          <w:sz w:val="36"/>
          <w:szCs w:val="36"/>
          <w:highlight w:val="none"/>
        </w:rPr>
        <w:t>★</w:t>
      </w:r>
      <w:r>
        <w:rPr>
          <w:rFonts w:hint="eastAsia" w:ascii="方正隶二简体" w:hAnsi="Times New Roman" w:eastAsia="方正隶二简体" w:cs="Times New Roman"/>
          <w:b/>
          <w:sz w:val="36"/>
          <w:szCs w:val="36"/>
          <w:highlight w:val="none"/>
        </w:rPr>
        <w:t xml:space="preserve"> </w:t>
      </w:r>
      <w:r>
        <w:rPr>
          <w:rFonts w:hint="eastAsia" w:ascii="方正隶二简体" w:hAnsi="Times New Roman" w:eastAsia="方正隶二简体" w:cs="Times New Roman"/>
          <w:b/>
          <w:bCs/>
          <w:sz w:val="36"/>
          <w:szCs w:val="36"/>
          <w:highlight w:val="none"/>
        </w:rPr>
        <w:t>他山之石</w:t>
      </w:r>
    </w:p>
    <w:p>
      <w:pPr>
        <w:shd w:val="clear" w:color="auto" w:fill="auto"/>
        <w:spacing w:line="480" w:lineRule="exact"/>
        <w:ind w:firstLine="482" w:firstLineChars="0"/>
        <w:rPr>
          <w:rFonts w:ascii="仿宋_GB2312" w:hAnsi="华文仿宋" w:eastAsia="仿宋_GB2312" w:cs="Times New Roman"/>
          <w:sz w:val="28"/>
          <w:szCs w:val="28"/>
          <w:highlight w:val="none"/>
        </w:rPr>
      </w:pPr>
      <w:r>
        <w:rPr>
          <w:rFonts w:hint="eastAsia" w:ascii="隶书" w:hAnsi="隶书" w:eastAsia="隶书" w:cs="Times New Roman"/>
          <w:b/>
          <w:sz w:val="32"/>
          <w:szCs w:val="32"/>
          <w:highlight w:val="none"/>
        </w:rPr>
        <w:t>·</w:t>
      </w:r>
      <w:r>
        <w:rPr>
          <w:rFonts w:hint="eastAsia" w:ascii="仿宋_GB2312" w:hAnsi="华文仿宋" w:eastAsia="仿宋_GB2312" w:cs="Times New Roman"/>
          <w:sz w:val="28"/>
          <w:szCs w:val="28"/>
          <w:highlight w:val="none"/>
        </w:rPr>
        <w:t>天津市大学软件学院：探索产学深度融合培养模式</w:t>
      </w:r>
    </w:p>
    <w:p>
      <w:pPr>
        <w:shd w:val="clear" w:color="auto" w:fill="auto"/>
        <w:spacing w:line="480" w:lineRule="exact"/>
        <w:ind w:firstLine="482" w:firstLineChars="0"/>
        <w:rPr>
          <w:rFonts w:hint="eastAsia" w:ascii="仿宋_GB2312" w:hAnsi="华文仿宋" w:eastAsia="仿宋_GB2312" w:cs="Times New Roman"/>
          <w:bCs/>
          <w:sz w:val="28"/>
          <w:szCs w:val="28"/>
          <w:highlight w:val="none"/>
        </w:rPr>
      </w:pPr>
      <w:r>
        <w:rPr>
          <w:rFonts w:hint="eastAsia" w:ascii="隶书" w:hAnsi="隶书" w:eastAsia="隶书" w:cs="Times New Roman"/>
          <w:b/>
          <w:sz w:val="32"/>
          <w:szCs w:val="32"/>
          <w:highlight w:val="none"/>
        </w:rPr>
        <w:t>·</w:t>
      </w:r>
      <w:r>
        <w:rPr>
          <w:rFonts w:hint="eastAsia" w:ascii="仿宋_GB2312" w:hAnsi="华文仿宋" w:eastAsia="仿宋_GB2312" w:cs="Times New Roman"/>
          <w:bCs/>
          <w:sz w:val="28"/>
          <w:szCs w:val="28"/>
          <w:highlight w:val="none"/>
        </w:rPr>
        <w:t>湖北文理学院：坚定走“应用型”大学办学之路</w:t>
      </w:r>
    </w:p>
    <w:p>
      <w:pPr>
        <w:shd w:val="clear" w:color="auto" w:fill="auto"/>
        <w:spacing w:line="480" w:lineRule="exact"/>
        <w:ind w:firstLine="482" w:firstLineChars="0"/>
        <w:rPr>
          <w:rFonts w:hint="eastAsia" w:ascii="仿宋_GB2312" w:hAnsi="华文仿宋" w:eastAsia="仿宋_GB2312" w:cs="Times New Roman"/>
          <w:bCs/>
          <w:sz w:val="28"/>
          <w:szCs w:val="28"/>
          <w:highlight w:val="none"/>
        </w:rPr>
      </w:pPr>
      <w:r>
        <w:rPr>
          <w:rFonts w:hint="eastAsia" w:ascii="隶书" w:hAnsi="隶书" w:eastAsia="隶书" w:cs="Times New Roman"/>
          <w:b/>
          <w:sz w:val="32"/>
          <w:szCs w:val="32"/>
          <w:highlight w:val="none"/>
        </w:rPr>
        <w:t>·</w:t>
      </w:r>
      <w:r>
        <w:rPr>
          <w:rFonts w:hint="eastAsia" w:ascii="仿宋_GB2312" w:hAnsi="华文仿宋" w:eastAsia="仿宋_GB2312" w:cs="Times New Roman"/>
          <w:bCs/>
          <w:sz w:val="28"/>
          <w:szCs w:val="28"/>
          <w:highlight w:val="none"/>
        </w:rPr>
        <w:t>青岛科技大学：如何变优势学科为创业利器</w:t>
      </w:r>
    </w:p>
    <w:p>
      <w:pPr>
        <w:shd w:val="clear" w:color="auto" w:fill="auto"/>
        <w:spacing w:line="480" w:lineRule="exact"/>
        <w:ind w:firstLine="0" w:firstLineChars="0"/>
        <w:rPr>
          <w:rFonts w:ascii="方正隶二简体" w:hAnsi="Times New Roman" w:eastAsia="方正隶二简体" w:cs="Times New Roman"/>
          <w:b/>
          <w:bCs/>
          <w:sz w:val="36"/>
          <w:szCs w:val="36"/>
          <w:highlight w:val="none"/>
        </w:rPr>
      </w:pPr>
      <w:r>
        <w:rPr>
          <w:rFonts w:hint="eastAsia" w:ascii="方正隶二简体" w:hAnsi="Times New Roman" w:eastAsia="方正隶二简体" w:cs="Times New Roman"/>
          <w:b/>
          <w:color w:val="FF0000"/>
          <w:sz w:val="36"/>
          <w:szCs w:val="36"/>
          <w:highlight w:val="none"/>
        </w:rPr>
        <w:t>★</w:t>
      </w:r>
      <w:r>
        <w:rPr>
          <w:rFonts w:hint="eastAsia" w:ascii="方正隶二简体" w:hAnsi="Times New Roman" w:eastAsia="方正隶二简体" w:cs="Times New Roman"/>
          <w:b/>
          <w:sz w:val="36"/>
          <w:szCs w:val="36"/>
          <w:highlight w:val="none"/>
        </w:rPr>
        <w:t xml:space="preserve"> </w:t>
      </w:r>
      <w:r>
        <w:rPr>
          <w:rFonts w:hint="eastAsia" w:ascii="方正隶二简体" w:hAnsi="Times New Roman" w:eastAsia="方正隶二简体" w:cs="Times New Roman"/>
          <w:b/>
          <w:sz w:val="36"/>
          <w:szCs w:val="36"/>
          <w:highlight w:val="none"/>
          <w:lang w:eastAsia="zh-CN"/>
        </w:rPr>
        <w:t>政策解读</w:t>
      </w:r>
    </w:p>
    <w:p>
      <w:pPr>
        <w:shd w:val="clear" w:color="auto" w:fill="auto"/>
        <w:spacing w:line="240" w:lineRule="auto"/>
        <w:ind w:firstLine="0" w:firstLineChars="0"/>
        <w:jc w:val="both"/>
        <w:rPr>
          <w:rFonts w:hint="eastAsia" w:ascii="仿宋_GB2312" w:hAnsi="华文仿宋" w:eastAsia="仿宋_GB2312" w:cs="Times New Roman"/>
          <w:bCs/>
          <w:sz w:val="28"/>
          <w:szCs w:val="28"/>
          <w:highlight w:val="none"/>
        </w:rPr>
      </w:pPr>
      <w:r>
        <w:rPr>
          <w:rFonts w:hint="eastAsia" w:ascii="隶书" w:hAnsi="隶书" w:eastAsia="隶书" w:cs="Times New Roman"/>
          <w:b/>
          <w:sz w:val="32"/>
          <w:szCs w:val="32"/>
          <w:highlight w:val="none"/>
          <w:lang w:val="en-US" w:eastAsia="zh-CN"/>
        </w:rPr>
        <w:t xml:space="preserve">   </w:t>
      </w:r>
      <w:r>
        <w:rPr>
          <w:rFonts w:hint="eastAsia" w:ascii="隶书" w:hAnsi="隶书" w:eastAsia="隶书" w:cs="Times New Roman"/>
          <w:b/>
          <w:sz w:val="32"/>
          <w:szCs w:val="32"/>
          <w:highlight w:val="none"/>
        </w:rPr>
        <w:t>·</w:t>
      </w:r>
      <w:r>
        <w:rPr>
          <w:rFonts w:hint="eastAsia" w:ascii="仿宋_GB2312" w:hAnsi="华文仿宋" w:eastAsia="仿宋_GB2312" w:cs="Times New Roman"/>
          <w:bCs/>
          <w:sz w:val="28"/>
          <w:szCs w:val="28"/>
          <w:highlight w:val="none"/>
        </w:rPr>
        <w:t>《关于建立健全高校师德建设长效机制的意见》答</w:t>
      </w:r>
      <w:r>
        <w:rPr>
          <w:rFonts w:hint="eastAsia" w:ascii="仿宋_GB2312" w:hAnsi="华文仿宋" w:eastAsia="仿宋_GB2312" w:cs="Times New Roman"/>
          <w:bCs/>
          <w:sz w:val="28"/>
          <w:szCs w:val="28"/>
          <w:highlight w:val="none"/>
          <w:lang w:eastAsia="zh-CN"/>
        </w:rPr>
        <w:t>记者</w:t>
      </w:r>
      <w:r>
        <w:rPr>
          <w:rFonts w:hint="eastAsia" w:ascii="仿宋_GB2312" w:hAnsi="华文仿宋" w:eastAsia="仿宋_GB2312" w:cs="Times New Roman"/>
          <w:bCs/>
          <w:sz w:val="28"/>
          <w:szCs w:val="28"/>
          <w:highlight w:val="none"/>
        </w:rPr>
        <w:t>问</w:t>
      </w:r>
    </w:p>
    <w:p>
      <w:pPr>
        <w:shd w:val="clear" w:color="auto" w:fill="auto"/>
        <w:spacing w:line="480" w:lineRule="exact"/>
        <w:rPr>
          <w:rFonts w:hint="eastAsia" w:ascii="仿宋_GB2312" w:hAnsi="华文仿宋" w:eastAsia="仿宋_GB2312" w:cs="Times New Roman"/>
          <w:bCs/>
          <w:sz w:val="28"/>
          <w:szCs w:val="28"/>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134" w:left="1134"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pPr>
    </w:p>
    <w:p>
      <w:pPr>
        <w:shd w:val="clear" w:color="auto" w:fill="auto"/>
        <w:ind w:firstLine="0" w:firstLineChars="0"/>
        <w:rPr>
          <w:rFonts w:ascii="黑体" w:hAnsi="黑体" w:eastAsia="黑体"/>
          <w:sz w:val="28"/>
          <w:szCs w:val="21"/>
          <w:highlight w:val="none"/>
        </w:rPr>
      </w:pPr>
      <w:r>
        <w:rPr>
          <w:rFonts w:ascii="Calibri" w:hAnsi="Calibri" w:eastAsia="宋体" w:cs="黑体"/>
          <w:kern w:val="2"/>
          <w:sz w:val="21"/>
          <w:szCs w:val="22"/>
          <w:highlight w:val="none"/>
          <w:lang w:val="en-US" w:eastAsia="zh-CN" w:bidi="ar-SA"/>
        </w:rPr>
        <w:pict>
          <v:shape id="横卷形 3" o:spid="_x0000_s1034" type="#_x0000_t98" style="position:absolute;left:0;margin-left:-2.7pt;margin-top:-1.25pt;height:48pt;width:96.75pt;rotation:0f;z-index:251662336;" o:ole="f" fillcolor="#C0C0C0"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spacing w:line="500" w:lineRule="exact"/>
                    <w:ind w:firstLine="0" w:firstLineChars="0"/>
                    <w:jc w:val="center"/>
                    <w:rPr>
                      <w:rFonts w:ascii="华文新魏" w:hAnsi="华文新魏" w:eastAsia="华文新魏"/>
                      <w:b/>
                      <w:sz w:val="36"/>
                      <w:szCs w:val="28"/>
                    </w:rPr>
                  </w:pPr>
                  <w:r>
                    <w:rPr>
                      <w:rFonts w:hint="eastAsia" w:ascii="华文新魏" w:hAnsi="华文新魏" w:eastAsia="华文新魏"/>
                      <w:b/>
                      <w:sz w:val="36"/>
                      <w:szCs w:val="28"/>
                    </w:rPr>
                    <w:t>高教动态</w:t>
                  </w:r>
                </w:p>
              </w:txbxContent>
            </v:textbox>
          </v:shape>
        </w:pict>
      </w:r>
    </w:p>
    <w:p>
      <w:pPr>
        <w:shd w:val="clear" w:color="auto" w:fill="auto"/>
        <w:ind w:firstLine="0" w:firstLineChars="0"/>
        <w:rPr>
          <w:rFonts w:ascii="黑体" w:hAnsi="黑体" w:eastAsia="黑体"/>
          <w:sz w:val="28"/>
          <w:szCs w:val="21"/>
          <w:highlight w:val="none"/>
        </w:rPr>
      </w:pPr>
    </w:p>
    <w:p>
      <w:pPr>
        <w:shd w:val="clear" w:color="auto" w:fill="auto"/>
        <w:ind w:left="0" w:leftChars="0" w:firstLine="0" w:firstLineChars="0"/>
        <w:jc w:val="left"/>
        <w:rPr>
          <w:rFonts w:ascii="仿宋_GB2312" w:hAnsi="华文仿宋" w:eastAsia="仿宋_GB2312" w:cs="Times New Roman"/>
          <w:szCs w:val="21"/>
          <w:highlight w:val="none"/>
        </w:rPr>
      </w:pPr>
    </w:p>
    <w:p>
      <w:pPr>
        <w:shd w:val="clear" w:color="auto" w:fill="auto"/>
        <w:ind w:left="0" w:leftChars="0" w:firstLine="0" w:firstLineChars="0"/>
        <w:jc w:val="left"/>
        <w:rPr>
          <w:rFonts w:ascii="仿宋_GB2312" w:hAnsi="华文仿宋" w:eastAsia="仿宋_GB2312" w:cs="Times New Roman"/>
          <w:szCs w:val="21"/>
          <w:highlight w:val="none"/>
        </w:rPr>
      </w:pPr>
    </w:p>
    <w:p>
      <w:pPr>
        <w:widowControl w:val="0"/>
        <w:shd w:val="clear" w:color="auto" w:fill="auto"/>
        <w:autoSpaceDN w:val="0"/>
        <w:spacing w:line="240" w:lineRule="auto"/>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教育部发布首份《中国工程教育质量报告》</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hint="eastAsia" w:ascii="仿宋_GB2312" w:hAnsi="华文仿宋" w:eastAsia="仿宋_GB2312" w:cs="Times New Roman"/>
          <w:kern w:val="2"/>
          <w:sz w:val="21"/>
          <w:szCs w:val="21"/>
          <w:highlight w:val="none"/>
        </w:rPr>
      </w:pPr>
      <w:r>
        <w:rPr>
          <w:rFonts w:hint="eastAsia" w:ascii="仿宋_GB2312" w:hAnsi="华文仿宋" w:eastAsia="仿宋_GB2312" w:cs="Times New Roman"/>
          <w:kern w:val="2"/>
          <w:sz w:val="21"/>
          <w:szCs w:val="21"/>
          <w:highlight w:val="none"/>
        </w:rPr>
        <w:t xml:space="preserve">   </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华文仿宋" w:eastAsia="仿宋_GB2312" w:cs="Times New Roman"/>
          <w:kern w:val="2"/>
          <w:sz w:val="21"/>
          <w:szCs w:val="21"/>
          <w:highlight w:val="none"/>
        </w:rPr>
      </w:pPr>
      <w:r>
        <w:rPr>
          <w:rFonts w:hint="eastAsia" w:ascii="仿宋_GB2312" w:hAnsi="华文仿宋" w:eastAsia="仿宋_GB2312" w:cs="Times New Roman"/>
          <w:kern w:val="2"/>
          <w:sz w:val="21"/>
          <w:szCs w:val="21"/>
          <w:highlight w:val="none"/>
          <w:lang w:val="en-US" w:eastAsia="zh-CN"/>
        </w:rPr>
        <w:t xml:space="preserve">   </w:t>
      </w:r>
      <w:r>
        <w:rPr>
          <w:rFonts w:hint="eastAsia" w:ascii="仿宋_GB2312" w:hAnsi="华文仿宋" w:eastAsia="仿宋_GB2312" w:cs="Times New Roman"/>
          <w:kern w:val="2"/>
          <w:sz w:val="21"/>
          <w:szCs w:val="21"/>
          <w:highlight w:val="none"/>
        </w:rPr>
        <w:t xml:space="preserve"> </w:t>
      </w:r>
      <w:r>
        <w:rPr>
          <w:rFonts w:ascii="仿宋_GB2312" w:hAnsi="华文仿宋" w:eastAsia="仿宋_GB2312" w:cs="Times New Roman"/>
          <w:kern w:val="2"/>
          <w:sz w:val="21"/>
          <w:szCs w:val="21"/>
          <w:highlight w:val="none"/>
        </w:rPr>
        <w:t>教育部高等教育教学评估中心１３日发布《中国工程教育质量报告</w:t>
      </w:r>
      <w:r>
        <w:rPr>
          <w:rFonts w:hint="eastAsia" w:ascii="仿宋_GB2312" w:hAnsi="华文仿宋" w:eastAsia="仿宋_GB2312" w:cs="Times New Roman"/>
          <w:kern w:val="2"/>
          <w:sz w:val="21"/>
          <w:szCs w:val="21"/>
          <w:highlight w:val="none"/>
        </w:rPr>
        <w:t>（2013年度）</w:t>
      </w:r>
      <w:r>
        <w:rPr>
          <w:rFonts w:ascii="仿宋_GB2312" w:hAnsi="华文仿宋" w:eastAsia="仿宋_GB2312" w:cs="Times New Roman"/>
          <w:kern w:val="2"/>
          <w:sz w:val="21"/>
          <w:szCs w:val="21"/>
          <w:highlight w:val="none"/>
        </w:rPr>
        <w:t>》。《报告》显示，用人单位认为我国工科毕业生的实际动手能力需要加强；相关行业组织则认为，工科毕业生在国际竞争能力等诸多方面有待进一步提高。这些都要求工程教育人才培养应适时做出相应的调整和变革。</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华文仿宋" w:eastAsia="仿宋_GB2312" w:cs="Times New Roman"/>
          <w:kern w:val="2"/>
          <w:sz w:val="21"/>
          <w:szCs w:val="21"/>
          <w:highlight w:val="none"/>
        </w:rPr>
      </w:pPr>
      <w:r>
        <w:rPr>
          <w:rFonts w:ascii="仿宋_GB2312" w:hAnsi="华文仿宋" w:eastAsia="仿宋_GB2312" w:cs="Times New Roman"/>
          <w:kern w:val="2"/>
          <w:sz w:val="21"/>
          <w:szCs w:val="21"/>
          <w:highlight w:val="none"/>
        </w:rPr>
        <w:t>　　《报告》从行业发展和用人单位需求两个维度，对我国工程教育的社会需求适应度进行了分析。对</w:t>
      </w:r>
      <w:r>
        <w:rPr>
          <w:rFonts w:hint="eastAsia" w:ascii="仿宋_GB2312" w:hAnsi="华文仿宋" w:eastAsia="仿宋_GB2312" w:cs="Times New Roman"/>
          <w:kern w:val="2"/>
          <w:sz w:val="21"/>
          <w:szCs w:val="21"/>
          <w:highlight w:val="none"/>
          <w:lang w:val="en-US" w:eastAsia="zh-CN"/>
        </w:rPr>
        <w:t>260</w:t>
      </w:r>
      <w:r>
        <w:rPr>
          <w:rFonts w:ascii="仿宋_GB2312" w:hAnsi="华文仿宋" w:eastAsia="仿宋_GB2312" w:cs="Times New Roman"/>
          <w:kern w:val="2"/>
          <w:sz w:val="21"/>
          <w:szCs w:val="21"/>
          <w:highlight w:val="none"/>
        </w:rPr>
        <w:t>多家用人单位进行的满意度调查显示，八成的用人单位能够招聘到所需要的工科毕业生，近七成工科本科毕业生实际从事工作与所学专业相关程度较高；但工科毕业生的实际动手能力需要加强。</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华文仿宋" w:eastAsia="仿宋_GB2312" w:cs="Times New Roman"/>
          <w:kern w:val="2"/>
          <w:sz w:val="21"/>
          <w:szCs w:val="21"/>
          <w:highlight w:val="none"/>
        </w:rPr>
      </w:pPr>
      <w:r>
        <w:rPr>
          <w:rFonts w:ascii="仿宋_GB2312" w:hAnsi="华文仿宋" w:eastAsia="仿宋_GB2312" w:cs="Times New Roman"/>
          <w:kern w:val="2"/>
          <w:sz w:val="21"/>
          <w:szCs w:val="21"/>
          <w:highlight w:val="none"/>
        </w:rPr>
        <w:t>　　同时，对中国机械工程学会、中国石油和化学工业联合会、中国水利学会、中国计算机学会、中国软件行业协会、中国电工技术学会等６个行业组织的调研情况显示，我国工程教育基本适应近年来行业的快速发展需要，提供了基本满足行业需求的工程科技人员。但是，工科毕业生在国际竞争能力、经营管理能力、学科知识交叉融合能力等方面有待进一步提高。</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华文仿宋" w:eastAsia="仿宋_GB2312" w:cs="Times New Roman"/>
          <w:kern w:val="2"/>
          <w:sz w:val="21"/>
          <w:szCs w:val="21"/>
          <w:highlight w:val="none"/>
        </w:rPr>
      </w:pPr>
      <w:r>
        <w:rPr>
          <w:rFonts w:ascii="仿宋_GB2312" w:hAnsi="华文仿宋" w:eastAsia="仿宋_GB2312" w:cs="Times New Roman"/>
          <w:kern w:val="2"/>
          <w:sz w:val="21"/>
          <w:szCs w:val="21"/>
          <w:highlight w:val="none"/>
        </w:rPr>
        <w:t>　　清华大学工程教育研究中心教授王孙禺评论说，我国工程教育因学生培养质量不尽如人意而常受诟病，动手能力不强、与行业发展脱节、创新不足等问题都是高教界、产业界十分关注且亟须解决的问题。《报告》客观分析了我国工程教育面临的问题，有理有据，为今后的改革提供了依据和参考。</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华文仿宋" w:eastAsia="仿宋_GB2312" w:cs="Times New Roman"/>
          <w:kern w:val="2"/>
          <w:sz w:val="21"/>
          <w:szCs w:val="21"/>
          <w:highlight w:val="none"/>
        </w:rPr>
      </w:pPr>
      <w:r>
        <w:rPr>
          <w:rFonts w:ascii="仿宋_GB2312" w:hAnsi="华文仿宋" w:eastAsia="仿宋_GB2312" w:cs="Times New Roman"/>
          <w:kern w:val="2"/>
          <w:sz w:val="21"/>
          <w:szCs w:val="21"/>
          <w:highlight w:val="none"/>
        </w:rPr>
        <w:t>　　据介绍，除社会需求适应度外，《报告》还首次尝试将工程教育培养目标达成度、办学条件支撑度、质量监测保障度、学生和用户满意度作为分析指标，用大量数据和事实客观呈现了我国工程教育取得的主要成绩，分析了其中的深层次问题，并有针对性地提出了进一步提高工程教育质量的对策与建议。</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华文仿宋" w:eastAsia="仿宋_GB2312" w:cs="Times New Roman"/>
          <w:kern w:val="2"/>
          <w:sz w:val="21"/>
          <w:szCs w:val="21"/>
          <w:highlight w:val="none"/>
        </w:rPr>
      </w:pPr>
      <w:r>
        <w:rPr>
          <w:rFonts w:ascii="仿宋_GB2312" w:hAnsi="华文仿宋" w:eastAsia="仿宋_GB2312" w:cs="Times New Roman"/>
          <w:kern w:val="2"/>
          <w:sz w:val="21"/>
          <w:szCs w:val="21"/>
          <w:highlight w:val="none"/>
        </w:rPr>
        <w:t>　　教育部高等教育教学评估中心主任吴岩表示，《报告》研制过程中使用了大量第一手数据和史料信息，包括近</w:t>
      </w:r>
      <w:r>
        <w:rPr>
          <w:rFonts w:hint="eastAsia" w:ascii="仿宋_GB2312" w:hAnsi="华文仿宋" w:eastAsia="仿宋_GB2312" w:cs="Times New Roman"/>
          <w:kern w:val="2"/>
          <w:sz w:val="21"/>
          <w:szCs w:val="21"/>
          <w:highlight w:val="none"/>
          <w:lang w:val="en-US" w:eastAsia="zh-CN"/>
        </w:rPr>
        <w:t>10</w:t>
      </w:r>
      <w:r>
        <w:rPr>
          <w:rFonts w:ascii="仿宋_GB2312" w:hAnsi="华文仿宋" w:eastAsia="仿宋_GB2312" w:cs="Times New Roman"/>
          <w:kern w:val="2"/>
          <w:sz w:val="21"/>
          <w:szCs w:val="21"/>
          <w:highlight w:val="none"/>
        </w:rPr>
        <w:t>年积累的工程教育认证资料、６家行业学会、协会（联合会）走访调研材料、近</w:t>
      </w:r>
      <w:r>
        <w:rPr>
          <w:rFonts w:hint="eastAsia" w:ascii="仿宋_GB2312" w:hAnsi="华文仿宋" w:eastAsia="仿宋_GB2312" w:cs="Times New Roman"/>
          <w:kern w:val="2"/>
          <w:sz w:val="21"/>
          <w:szCs w:val="21"/>
          <w:highlight w:val="none"/>
          <w:lang w:val="en-US" w:eastAsia="zh-CN"/>
        </w:rPr>
        <w:t>30</w:t>
      </w:r>
      <w:r>
        <w:rPr>
          <w:rFonts w:ascii="仿宋_GB2312" w:hAnsi="华文仿宋" w:eastAsia="仿宋_GB2312" w:cs="Times New Roman"/>
          <w:kern w:val="2"/>
          <w:sz w:val="21"/>
          <w:szCs w:val="21"/>
          <w:highlight w:val="none"/>
        </w:rPr>
        <w:t>位专家的访谈材料、</w:t>
      </w:r>
      <w:r>
        <w:rPr>
          <w:rFonts w:hint="eastAsia" w:ascii="仿宋_GB2312" w:hAnsi="华文仿宋" w:eastAsia="仿宋_GB2312" w:cs="Times New Roman"/>
          <w:kern w:val="2"/>
          <w:sz w:val="21"/>
          <w:szCs w:val="21"/>
          <w:highlight w:val="none"/>
          <w:lang w:val="en-US" w:eastAsia="zh-CN"/>
        </w:rPr>
        <w:t>260</w:t>
      </w:r>
      <w:r>
        <w:rPr>
          <w:rFonts w:ascii="仿宋_GB2312" w:hAnsi="华文仿宋" w:eastAsia="仿宋_GB2312" w:cs="Times New Roman"/>
          <w:kern w:val="2"/>
          <w:sz w:val="21"/>
          <w:szCs w:val="21"/>
          <w:highlight w:val="none"/>
        </w:rPr>
        <w:t>多家用人单位和４万多名学生的问卷调查等，翔实的数据和事实保证了报告结论的实证性、科学性和权威性，今后将每年持续发布。</w:t>
      </w:r>
    </w:p>
    <w:p>
      <w:pPr>
        <w:pStyle w:val="9"/>
        <w:widowControl/>
        <w:shd w:val="clear" w:color="auto" w:fill="auto"/>
        <w:wordWrap/>
        <w:adjustRightInd/>
        <w:snapToGrid/>
        <w:spacing w:before="0" w:beforeAutospacing="0" w:after="0" w:afterAutospacing="0" w:line="320" w:lineRule="atLeast"/>
        <w:ind w:left="0" w:leftChars="0" w:right="0" w:firstLine="420" w:firstLineChars="200"/>
        <w:jc w:val="left"/>
        <w:textAlignment w:val="auto"/>
        <w:outlineLvl w:val="9"/>
        <w:rPr>
          <w:rFonts w:ascii="仿宋_GB2312" w:hAnsi="华文仿宋" w:eastAsia="仿宋_GB2312" w:cs="Times New Roman"/>
          <w:kern w:val="2"/>
          <w:sz w:val="21"/>
          <w:szCs w:val="21"/>
          <w:highlight w:val="none"/>
        </w:rPr>
      </w:pPr>
      <w:r>
        <w:rPr>
          <w:rFonts w:ascii="仿宋_GB2312" w:hAnsi="华文仿宋" w:eastAsia="仿宋_GB2312" w:cs="Times New Roman"/>
          <w:kern w:val="2"/>
          <w:sz w:val="21"/>
          <w:szCs w:val="21"/>
          <w:highlight w:val="none"/>
        </w:rPr>
        <w:t>工程教育是我国高等教育的重要组成部分，据统计，截至</w:t>
      </w:r>
      <w:r>
        <w:rPr>
          <w:rFonts w:hint="eastAsia" w:ascii="仿宋_GB2312" w:hAnsi="华文仿宋" w:eastAsia="仿宋_GB2312" w:cs="Times New Roman"/>
          <w:kern w:val="2"/>
          <w:sz w:val="21"/>
          <w:szCs w:val="21"/>
          <w:highlight w:val="none"/>
          <w:lang w:val="en-US" w:eastAsia="zh-CN"/>
        </w:rPr>
        <w:t>2013</w:t>
      </w:r>
      <w:r>
        <w:rPr>
          <w:rFonts w:ascii="仿宋_GB2312" w:hAnsi="华文仿宋" w:eastAsia="仿宋_GB2312" w:cs="Times New Roman"/>
          <w:kern w:val="2"/>
          <w:sz w:val="21"/>
          <w:szCs w:val="21"/>
          <w:highlight w:val="none"/>
        </w:rPr>
        <w:t>年，我国普通高校工科毕业生数达到</w:t>
      </w:r>
      <w:r>
        <w:rPr>
          <w:rFonts w:hint="eastAsia" w:ascii="仿宋_GB2312" w:hAnsi="华文仿宋" w:eastAsia="仿宋_GB2312" w:cs="Times New Roman"/>
          <w:kern w:val="2"/>
          <w:sz w:val="21"/>
          <w:szCs w:val="21"/>
          <w:highlight w:val="none"/>
          <w:lang w:val="en-US" w:eastAsia="zh-CN"/>
        </w:rPr>
        <w:t>2876668</w:t>
      </w:r>
      <w:r>
        <w:rPr>
          <w:rFonts w:ascii="仿宋_GB2312" w:hAnsi="华文仿宋" w:eastAsia="仿宋_GB2312" w:cs="Times New Roman"/>
          <w:kern w:val="2"/>
          <w:sz w:val="21"/>
          <w:szCs w:val="21"/>
          <w:highlight w:val="none"/>
        </w:rPr>
        <w:t>人，本科工科在校生数达到</w:t>
      </w:r>
      <w:r>
        <w:rPr>
          <w:rFonts w:hint="eastAsia" w:ascii="仿宋_GB2312" w:hAnsi="华文仿宋" w:eastAsia="仿宋_GB2312" w:cs="Times New Roman"/>
          <w:kern w:val="2"/>
          <w:sz w:val="21"/>
          <w:szCs w:val="21"/>
          <w:highlight w:val="none"/>
          <w:lang w:val="en-US" w:eastAsia="zh-CN"/>
        </w:rPr>
        <w:t>4953334</w:t>
      </w:r>
      <w:r>
        <w:rPr>
          <w:rFonts w:ascii="仿宋_GB2312" w:hAnsi="华文仿宋" w:eastAsia="仿宋_GB2312" w:cs="Times New Roman"/>
          <w:kern w:val="2"/>
          <w:sz w:val="21"/>
          <w:szCs w:val="21"/>
          <w:highlight w:val="none"/>
        </w:rPr>
        <w:t>人，本科工科专业布点数达到</w:t>
      </w:r>
      <w:r>
        <w:rPr>
          <w:rFonts w:hint="eastAsia" w:ascii="仿宋_GB2312" w:hAnsi="华文仿宋" w:eastAsia="仿宋_GB2312" w:cs="Times New Roman"/>
          <w:kern w:val="2"/>
          <w:sz w:val="21"/>
          <w:szCs w:val="21"/>
          <w:highlight w:val="none"/>
          <w:lang w:val="en-US" w:eastAsia="zh-CN"/>
        </w:rPr>
        <w:t>15733</w:t>
      </w:r>
      <w:r>
        <w:rPr>
          <w:rFonts w:ascii="仿宋_GB2312" w:hAnsi="华文仿宋" w:eastAsia="仿宋_GB2312" w:cs="Times New Roman"/>
          <w:kern w:val="2"/>
          <w:sz w:val="21"/>
          <w:szCs w:val="21"/>
          <w:highlight w:val="none"/>
        </w:rPr>
        <w:t>个，总规模已位居世界第一。</w:t>
      </w:r>
    </w:p>
    <w:p>
      <w:pPr>
        <w:pStyle w:val="9"/>
        <w:shd w:val="clear" w:color="auto" w:fill="auto"/>
        <w:spacing w:before="0" w:beforeAutospacing="0" w:after="0" w:afterAutospacing="0" w:line="300" w:lineRule="atLeast"/>
        <w:ind w:firstLine="420" w:firstLineChars="200"/>
        <w:rPr>
          <w:rFonts w:ascii="仿宋_GB2312" w:hAnsi="华文仿宋" w:eastAsia="仿宋_GB2312" w:cs="Times New Roman"/>
          <w:kern w:val="2"/>
          <w:sz w:val="21"/>
          <w:szCs w:val="21"/>
          <w:highlight w:val="none"/>
        </w:rPr>
      </w:pPr>
    </w:p>
    <w:p>
      <w:pPr>
        <w:pStyle w:val="9"/>
        <w:shd w:val="clear" w:color="auto" w:fill="auto"/>
        <w:spacing w:before="0" w:beforeAutospacing="0" w:after="0" w:afterAutospacing="0" w:line="300" w:lineRule="atLeast"/>
        <w:ind w:firstLine="420" w:firstLineChars="200"/>
        <w:rPr>
          <w:rFonts w:ascii="仿宋_GB2312" w:hAnsi="华文仿宋" w:eastAsia="仿宋_GB2312" w:cs="Times New Roman"/>
          <w:kern w:val="2"/>
          <w:sz w:val="21"/>
          <w:szCs w:val="21"/>
          <w:highlight w:val="none"/>
        </w:rPr>
      </w:pPr>
    </w:p>
    <w:p>
      <w:pPr>
        <w:shd w:val="clear" w:color="auto" w:fill="auto"/>
        <w:spacing w:line="480" w:lineRule="exact"/>
        <w:ind w:firstLine="482" w:firstLineChars="0"/>
        <w:jc w:val="center"/>
        <w:rPr>
          <w:rFonts w:ascii="黑体" w:hAnsi="黑体" w:eastAsia="黑体"/>
          <w:sz w:val="36"/>
          <w:szCs w:val="36"/>
          <w:highlight w:val="none"/>
        </w:rPr>
      </w:pPr>
      <w:r>
        <w:rPr>
          <w:rFonts w:hint="eastAsia" w:ascii="黑体" w:hAnsi="黑体" w:eastAsia="黑体"/>
          <w:sz w:val="36"/>
          <w:szCs w:val="36"/>
          <w:highlight w:val="none"/>
        </w:rPr>
        <w:t>高校思想政治理论课教研创新论坛（2014）在京举行</w:t>
      </w:r>
    </w:p>
    <w:p>
      <w:pPr>
        <w:pStyle w:val="9"/>
        <w:shd w:val="clear" w:color="auto" w:fill="auto"/>
        <w:spacing w:before="0" w:beforeAutospacing="0" w:after="0" w:afterAutospacing="0" w:line="300" w:lineRule="atLeast"/>
        <w:rPr>
          <w:rFonts w:ascii="仿宋_GB2312" w:hAnsi="华文仿宋" w:eastAsia="仿宋_GB2312" w:cs="Times New Roman"/>
          <w:kern w:val="2"/>
          <w:sz w:val="21"/>
          <w:szCs w:val="21"/>
          <w:highlight w:val="none"/>
        </w:rPr>
      </w:pPr>
      <w:r>
        <w:rPr>
          <w:rFonts w:hint="eastAsia" w:ascii="仿宋_GB2312" w:hAnsi="华文仿宋" w:eastAsia="仿宋_GB2312" w:cs="Times New Roman"/>
          <w:kern w:val="2"/>
          <w:sz w:val="21"/>
          <w:szCs w:val="21"/>
          <w:highlight w:val="none"/>
        </w:rPr>
        <w:t xml:space="preserve">    </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华文仿宋" w:eastAsia="仿宋_GB2312" w:cs="Times New Roman"/>
          <w:kern w:val="2"/>
          <w:sz w:val="21"/>
          <w:szCs w:val="21"/>
          <w:highlight w:val="none"/>
        </w:rPr>
      </w:pPr>
      <w:r>
        <w:rPr>
          <w:rFonts w:hint="eastAsia" w:ascii="仿宋_GB2312" w:hAnsi="华文仿宋" w:eastAsia="仿宋_GB2312" w:cs="Times New Roman"/>
          <w:kern w:val="2"/>
          <w:sz w:val="21"/>
          <w:szCs w:val="21"/>
          <w:highlight w:val="none"/>
        </w:rPr>
        <w:t xml:space="preserve">    </w:t>
      </w:r>
      <w:r>
        <w:rPr>
          <w:rFonts w:ascii="仿宋_GB2312" w:hAnsi="华文仿宋" w:eastAsia="仿宋_GB2312" w:cs="Times New Roman"/>
          <w:kern w:val="2"/>
          <w:sz w:val="21"/>
          <w:szCs w:val="21"/>
          <w:highlight w:val="none"/>
        </w:rPr>
        <w:t>11月13日，高校思想政治理论课教研创新论坛（2014）在京举行，教育部副部长李卫红出席活动，为全国高校思想政治理论课教师2013年度影响力人物标兵和2014年教学能手代表颁奖并讲话。</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华文仿宋" w:eastAsia="仿宋_GB2312" w:cs="Times New Roman"/>
          <w:kern w:val="2"/>
          <w:sz w:val="21"/>
          <w:szCs w:val="21"/>
          <w:highlight w:val="none"/>
        </w:rPr>
      </w:pPr>
      <w:r>
        <w:rPr>
          <w:rFonts w:ascii="仿宋_GB2312" w:hAnsi="华文仿宋" w:eastAsia="仿宋_GB2312" w:cs="Times New Roman"/>
          <w:kern w:val="2"/>
          <w:sz w:val="21"/>
          <w:szCs w:val="21"/>
          <w:highlight w:val="none"/>
        </w:rPr>
        <w:t>　　李卫红指出，党的十八大以来，以习近平同志为总书记的党中央高度重视思想政治理论课建设，重视高校宣传思想工作，为全面深入推进思政课建设指明了方向，大家要将思想和行动统一到中央的决策部署和要求上来。一要站在战略和全局的高度认识思政课教学的地位和作用。必须从事关中国特色社会主义事业能否后继有人，从党的意识形态和宣传思想文化工作大局高度来看待思政课。二要认真落实中央要求切实办好高校思政课，要把习近平总书记系列重要讲话精神作为思政课建设工作的基本遵循。要学深学透、融会贯通、入脑入心。三要将深化科学研究作为增强思政课教学理论阐释力的重要支撑。要坚持以马克思主义为指导，以推进中国马克思主义理论创新和理论武装为主线，深化理论研究。四要将全面提升教师素质作为思政课建设的重中之重。要使思政课教师的影响力从课堂走向学校，从学校走向社会。五要把服务学生健康成长作为思政课建设的根本目标。将服务于思政课教学质量提升，服务于大学生健康成长成才作为中心任务、核心目标，作为评价工作成效的标准。</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华文仿宋" w:eastAsia="仿宋_GB2312" w:cs="Times New Roman"/>
          <w:kern w:val="2"/>
          <w:sz w:val="21"/>
          <w:szCs w:val="21"/>
          <w:highlight w:val="none"/>
        </w:rPr>
      </w:pPr>
      <w:r>
        <w:rPr>
          <w:rFonts w:ascii="仿宋_GB2312" w:hAnsi="华文仿宋" w:eastAsia="仿宋_GB2312" w:cs="Times New Roman"/>
          <w:kern w:val="2"/>
          <w:sz w:val="21"/>
          <w:szCs w:val="21"/>
          <w:highlight w:val="none"/>
        </w:rPr>
        <w:t>　　李卫红指出，希望获得荣誉的各位老师在今后的工作中以高度的政治责任感认真对待每一堂课、讲好每一堂课，名副其实地成为思政课教育教学领域的影响力人物，成为出类拔萃的教学人才，在全面提高思政课教学质量的进程中走在前头、作出表率，发挥更大作用。</w:t>
      </w:r>
    </w:p>
    <w:p>
      <w:pPr>
        <w:pStyle w:val="9"/>
        <w:widowControl/>
        <w:shd w:val="clear" w:color="auto" w:fill="auto"/>
        <w:wordWrap/>
        <w:adjustRightInd/>
        <w:snapToGrid/>
        <w:spacing w:before="0" w:beforeAutospacing="0" w:after="0" w:afterAutospacing="0" w:line="320" w:lineRule="atLeast"/>
        <w:ind w:left="0" w:leftChars="0" w:right="0" w:firstLine="720" w:firstLineChars="200"/>
        <w:jc w:val="both"/>
        <w:textAlignment w:val="auto"/>
        <w:outlineLvl w:val="9"/>
        <w:rPr>
          <w:rFonts w:ascii="仿宋_GB2312" w:hAnsi="华文仿宋" w:eastAsia="仿宋_GB2312" w:cs="Times New Roman"/>
          <w:kern w:val="2"/>
          <w:sz w:val="21"/>
          <w:szCs w:val="21"/>
          <w:highlight w:val="none"/>
        </w:rPr>
      </w:pPr>
      <w:r>
        <w:rPr>
          <w:rFonts w:ascii="仿宋_GB2312" w:hAnsi="华文仿宋" w:eastAsia="仿宋_GB2312" w:cs="Times New Roman"/>
          <w:kern w:val="2"/>
          <w:sz w:val="21"/>
          <w:szCs w:val="21"/>
          <w:highlight w:val="none"/>
        </w:rPr>
        <w:t>　　教育部社会科学司负责人、各地教育部门职能处负责人、高校思想政治理论课教学指导委员会部分专家、2013年度高校思想政治理论课影响力人物代表、社会主义核心价值观教学展示活动“教学能手”代表100余人参加了论坛。论坛还进行了教学展示、教学观摩和大会发言，并部署了2014年高校思想政治理论课教师影响力人物推选工作。</w:t>
      </w:r>
    </w:p>
    <w:p>
      <w:pPr>
        <w:pStyle w:val="9"/>
        <w:shd w:val="clear" w:color="auto" w:fill="auto"/>
        <w:spacing w:before="0" w:beforeAutospacing="0" w:after="0" w:afterAutospacing="0" w:line="300" w:lineRule="atLeast"/>
        <w:ind w:firstLine="720" w:firstLineChars="200"/>
        <w:jc w:val="center"/>
        <w:rPr>
          <w:rFonts w:ascii="仿宋_GB2312" w:hAnsi="华文仿宋" w:eastAsia="仿宋_GB2312" w:cs="Times New Roman"/>
          <w:kern w:val="2"/>
          <w:sz w:val="21"/>
          <w:szCs w:val="21"/>
          <w:highlight w:val="none"/>
        </w:rPr>
      </w:pPr>
    </w:p>
    <w:p>
      <w:pPr>
        <w:pStyle w:val="9"/>
        <w:shd w:val="clear" w:color="auto" w:fill="auto"/>
        <w:spacing w:before="0" w:beforeAutospacing="0" w:after="0" w:afterAutospacing="0" w:line="300" w:lineRule="atLeast"/>
        <w:ind w:firstLine="720" w:firstLineChars="200"/>
        <w:jc w:val="center"/>
        <w:rPr>
          <w:rFonts w:ascii="仿宋_GB2312" w:hAnsi="华文仿宋" w:eastAsia="仿宋_GB2312" w:cs="Times New Roman"/>
          <w:kern w:val="2"/>
          <w:sz w:val="21"/>
          <w:szCs w:val="21"/>
          <w:highlight w:val="none"/>
        </w:rPr>
      </w:pPr>
    </w:p>
    <w:p>
      <w:pPr>
        <w:pStyle w:val="9"/>
        <w:shd w:val="clear" w:color="auto" w:fill="auto"/>
        <w:spacing w:before="0" w:beforeAutospacing="0" w:after="0" w:afterAutospacing="0" w:line="300" w:lineRule="atLeast"/>
        <w:ind w:firstLine="720" w:firstLineChars="200"/>
        <w:jc w:val="center"/>
        <w:rPr>
          <w:rFonts w:ascii="黑体" w:hAnsi="黑体" w:eastAsia="黑体" w:cs="黑体"/>
          <w:kern w:val="2"/>
          <w:sz w:val="36"/>
          <w:szCs w:val="36"/>
          <w:highlight w:val="none"/>
        </w:rPr>
      </w:pPr>
      <w:r>
        <w:rPr>
          <w:rFonts w:ascii="黑体" w:hAnsi="黑体" w:eastAsia="黑体" w:cs="黑体"/>
          <w:kern w:val="2"/>
          <w:sz w:val="36"/>
          <w:szCs w:val="36"/>
          <w:highlight w:val="none"/>
        </w:rPr>
        <w:t>论文检测助推高等教育质量</w:t>
      </w:r>
      <w:r>
        <w:rPr>
          <w:rFonts w:hint="eastAsia" w:ascii="黑体" w:hAnsi="黑体" w:eastAsia="黑体" w:cs="黑体"/>
          <w:kern w:val="2"/>
          <w:sz w:val="36"/>
          <w:szCs w:val="36"/>
          <w:highlight w:val="none"/>
          <w:lang w:val="en-US" w:eastAsia="zh-CN"/>
        </w:rPr>
        <w:t xml:space="preserve"> </w:t>
      </w:r>
      <w:r>
        <w:rPr>
          <w:rFonts w:ascii="黑体" w:hAnsi="黑体" w:eastAsia="黑体" w:cs="黑体"/>
          <w:kern w:val="2"/>
          <w:sz w:val="36"/>
          <w:szCs w:val="36"/>
          <w:highlight w:val="none"/>
        </w:rPr>
        <w:t>提高经验交流与研讨会</w:t>
      </w:r>
    </w:p>
    <w:p>
      <w:pPr>
        <w:pStyle w:val="9"/>
        <w:shd w:val="clear" w:color="auto" w:fill="auto"/>
        <w:spacing w:before="0" w:beforeAutospacing="0" w:after="0" w:afterAutospacing="0" w:line="300" w:lineRule="atLeast"/>
        <w:ind w:firstLine="720" w:firstLineChars="200"/>
        <w:jc w:val="center"/>
        <w:rPr>
          <w:rFonts w:ascii="黑体" w:hAnsi="黑体" w:eastAsia="黑体" w:cs="黑体"/>
          <w:kern w:val="2"/>
          <w:sz w:val="36"/>
          <w:szCs w:val="36"/>
          <w:highlight w:val="none"/>
        </w:rPr>
      </w:pPr>
      <w:r>
        <w:rPr>
          <w:rFonts w:ascii="黑体" w:hAnsi="黑体" w:eastAsia="黑体" w:cs="黑体"/>
          <w:kern w:val="2"/>
          <w:sz w:val="36"/>
          <w:szCs w:val="36"/>
          <w:highlight w:val="none"/>
        </w:rPr>
        <w:t>在西华大学召开</w:t>
      </w:r>
    </w:p>
    <w:p>
      <w:pPr>
        <w:pStyle w:val="9"/>
        <w:shd w:val="clear" w:color="auto" w:fill="auto"/>
        <w:spacing w:before="0" w:beforeAutospacing="0" w:after="0" w:afterAutospacing="0" w:line="300" w:lineRule="atLeast"/>
        <w:rPr>
          <w:rFonts w:hint="eastAsia" w:ascii="仿宋_GB2312" w:hAnsi="华文仿宋" w:eastAsia="仿宋_GB2312" w:cs="Times New Roman"/>
          <w:kern w:val="2"/>
          <w:sz w:val="21"/>
          <w:szCs w:val="21"/>
          <w:highlight w:val="none"/>
        </w:rPr>
      </w:pPr>
      <w:r>
        <w:rPr>
          <w:rFonts w:hint="eastAsia" w:ascii="仿宋_GB2312" w:hAnsi="华文仿宋" w:eastAsia="仿宋_GB2312" w:cs="Times New Roman"/>
          <w:kern w:val="2"/>
          <w:sz w:val="21"/>
          <w:szCs w:val="21"/>
          <w:highlight w:val="none"/>
        </w:rPr>
        <w:t xml:space="preserve">    </w:t>
      </w:r>
    </w:p>
    <w:p>
      <w:pPr>
        <w:pStyle w:val="9"/>
        <w:widowControl/>
        <w:shd w:val="clear" w:color="auto" w:fill="auto"/>
        <w:wordWrap/>
        <w:adjustRightInd/>
        <w:snapToGrid/>
        <w:spacing w:before="0" w:beforeAutospacing="0" w:after="0" w:afterAutospacing="0" w:line="320" w:lineRule="atLeast"/>
        <w:ind w:left="0" w:leftChars="0" w:right="0" w:firstLine="0" w:firstLineChars="0"/>
        <w:jc w:val="left"/>
        <w:textAlignment w:val="auto"/>
        <w:outlineLvl w:val="9"/>
        <w:rPr>
          <w:rFonts w:ascii="仿宋_GB2312" w:hAnsi="华文仿宋" w:eastAsia="仿宋_GB2312" w:cs="Times New Roman"/>
          <w:kern w:val="2"/>
          <w:sz w:val="21"/>
          <w:szCs w:val="21"/>
          <w:highlight w:val="none"/>
        </w:rPr>
      </w:pPr>
      <w:r>
        <w:rPr>
          <w:rFonts w:hint="eastAsia" w:ascii="仿宋_GB2312" w:hAnsi="华文仿宋" w:eastAsia="仿宋_GB2312" w:cs="Times New Roman"/>
          <w:kern w:val="2"/>
          <w:sz w:val="21"/>
          <w:szCs w:val="21"/>
          <w:highlight w:val="none"/>
          <w:lang w:val="en-US" w:eastAsia="zh-CN"/>
        </w:rPr>
        <w:t xml:space="preserve">    </w:t>
      </w:r>
      <w:r>
        <w:rPr>
          <w:rFonts w:hint="eastAsia" w:ascii="仿宋_GB2312" w:hAnsi="华文仿宋" w:eastAsia="仿宋_GB2312" w:cs="Times New Roman"/>
          <w:kern w:val="2"/>
          <w:sz w:val="21"/>
          <w:szCs w:val="21"/>
          <w:highlight w:val="none"/>
        </w:rPr>
        <w:t>11月21日，论文检测助推高等教育质量提高经验交流与研讨会在西华大学召开。来自天津、湖南、安徽、四川等省的高校代表齐聚一堂，从学术论文检测的角度出发，就如何提高高等教育质量展开研讨。</w:t>
      </w:r>
    </w:p>
    <w:p>
      <w:pPr>
        <w:pStyle w:val="9"/>
        <w:widowControl/>
        <w:shd w:val="clear" w:color="auto" w:fill="auto"/>
        <w:wordWrap/>
        <w:adjustRightInd/>
        <w:snapToGrid/>
        <w:spacing w:before="0" w:beforeAutospacing="0" w:after="0" w:afterAutospacing="0" w:line="320" w:lineRule="atLeast"/>
        <w:ind w:left="0" w:leftChars="0" w:right="0" w:firstLine="0" w:firstLineChars="0"/>
        <w:jc w:val="left"/>
        <w:textAlignment w:val="auto"/>
        <w:outlineLvl w:val="9"/>
        <w:rPr>
          <w:rFonts w:ascii="仿宋_GB2312" w:hAnsi="华文仿宋" w:eastAsia="仿宋_GB2312" w:cs="Times New Roman"/>
          <w:kern w:val="2"/>
          <w:sz w:val="21"/>
          <w:szCs w:val="21"/>
          <w:highlight w:val="none"/>
        </w:rPr>
      </w:pPr>
      <w:r>
        <w:rPr>
          <w:rFonts w:hint="eastAsia" w:ascii="仿宋_GB2312" w:hAnsi="华文仿宋" w:eastAsia="仿宋_GB2312" w:cs="Times New Roman"/>
          <w:kern w:val="2"/>
          <w:sz w:val="21"/>
          <w:szCs w:val="21"/>
          <w:highlight w:val="none"/>
        </w:rPr>
        <w:t>　　“高校本科生毕业论文作为人才培养链条中的一个重要实践教学环节，对于保证人才质量、与人才市场对接是至关重要的。”四川大学图书馆馆长、教育部本科教学工作水平评估专家马继刚说，学校教育除了要让学生习得知识，更要让学生做一个德才兼备的人，而养成良好的学术道德就是很重要的一方面。但是近些年来，由于受到毕业分配、学生扩招影响以及学校管理松懈等多方面的原因，造成毕业论文质量普遍下降。因此，如何提高高校学生毕业论文质量，加强毕业论文的科学管理，是当前高校教育工作者面临的一个重要问题。</w:t>
      </w:r>
    </w:p>
    <w:p>
      <w:pPr>
        <w:pStyle w:val="9"/>
        <w:widowControl/>
        <w:shd w:val="clear" w:color="auto" w:fill="auto"/>
        <w:wordWrap/>
        <w:adjustRightInd/>
        <w:snapToGrid/>
        <w:spacing w:before="0" w:beforeAutospacing="0" w:after="0" w:afterAutospacing="0" w:line="320" w:lineRule="atLeast"/>
        <w:ind w:left="0" w:leftChars="0" w:right="0" w:firstLine="0" w:firstLineChars="0"/>
        <w:jc w:val="left"/>
        <w:textAlignment w:val="auto"/>
        <w:outlineLvl w:val="9"/>
        <w:rPr>
          <w:rFonts w:ascii="仿宋_GB2312" w:hAnsi="华文仿宋" w:eastAsia="仿宋_GB2312" w:cs="Times New Roman"/>
          <w:kern w:val="2"/>
          <w:sz w:val="21"/>
          <w:szCs w:val="21"/>
          <w:highlight w:val="none"/>
        </w:rPr>
      </w:pPr>
      <w:r>
        <w:rPr>
          <w:rFonts w:hint="eastAsia" w:ascii="仿宋_GB2312" w:hAnsi="华文仿宋" w:eastAsia="仿宋_GB2312" w:cs="Times New Roman"/>
          <w:kern w:val="2"/>
          <w:sz w:val="21"/>
          <w:szCs w:val="21"/>
          <w:highlight w:val="none"/>
        </w:rPr>
        <w:t>　　西华大学教务处处长马力介绍说，为提高本科生的毕业论文质量，该校从2013年开始，利用相关论文检测产品对本科生的毕业论文在答辩前进行相似性检测，检测合格后方能参加答辩。合格的要求为文字复制比低于30%，也就是指被检测论文与非本人学术成果的文字重合字数占全文的百分比超过30%后，该论文会被认为存在抄袭或者引用不当。马力说，就目前推行的情况来看，效果良好，检测后的论文学生在答辩时也更有信心，答辩起来有理有据。湖南大学研究生院学位办主任刘凤翔博士认为，论文检测系统在研究生论文质量中的保障中也起到很好的作用。</w:t>
      </w:r>
    </w:p>
    <w:p>
      <w:pPr>
        <w:pStyle w:val="9"/>
        <w:widowControl/>
        <w:shd w:val="clear" w:color="auto" w:fill="auto"/>
        <w:wordWrap/>
        <w:adjustRightInd/>
        <w:snapToGrid/>
        <w:spacing w:before="0" w:beforeAutospacing="0" w:after="0" w:afterAutospacing="0" w:line="320" w:lineRule="atLeast"/>
        <w:ind w:left="0" w:leftChars="0" w:right="0" w:firstLine="0" w:firstLineChars="0"/>
        <w:jc w:val="left"/>
        <w:textAlignment w:val="auto"/>
        <w:outlineLvl w:val="9"/>
        <w:rPr>
          <w:rFonts w:ascii="仿宋_GB2312" w:hAnsi="华文仿宋" w:eastAsia="仿宋_GB2312" w:cs="Times New Roman"/>
          <w:kern w:val="2"/>
          <w:sz w:val="21"/>
          <w:szCs w:val="21"/>
          <w:highlight w:val="none"/>
        </w:rPr>
      </w:pPr>
      <w:r>
        <w:rPr>
          <w:rFonts w:hint="eastAsia" w:ascii="仿宋_GB2312" w:hAnsi="华文仿宋" w:eastAsia="仿宋_GB2312" w:cs="Times New Roman"/>
          <w:kern w:val="2"/>
          <w:sz w:val="21"/>
          <w:szCs w:val="21"/>
          <w:highlight w:val="none"/>
        </w:rPr>
        <w:t>　　“研究方向简单重复、对前人成果引用不当是当前高校学生论文最严重的两个问题。”原成都理工大学图书馆副馆长，现超星集团副总经理叶艳鸣教授说。从自己从事高校教育工作到研究论文检测系统的感受来看，在大数据时代下，高校需要利用新的技术来提高学术研究能力，让新的技术服务于高校教育质量的提升。论文检测系统也并不是一把砍向学术不端的大刀，而是助推学术创新的一面镜子。</w:t>
      </w:r>
    </w:p>
    <w:p>
      <w:pPr>
        <w:pStyle w:val="9"/>
        <w:widowControl/>
        <w:shd w:val="clear" w:color="auto" w:fill="auto"/>
        <w:wordWrap/>
        <w:adjustRightInd/>
        <w:snapToGrid/>
        <w:spacing w:before="0" w:beforeAutospacing="0" w:after="0" w:afterAutospacing="0" w:line="320" w:lineRule="atLeast"/>
        <w:ind w:left="0" w:leftChars="0" w:right="0" w:firstLine="0" w:firstLineChars="0"/>
        <w:jc w:val="left"/>
        <w:textAlignment w:val="auto"/>
        <w:outlineLvl w:val="9"/>
        <w:rPr>
          <w:rFonts w:ascii="仿宋_GB2312" w:hAnsi="华文仿宋" w:eastAsia="仿宋_GB2312" w:cs="Times New Roman"/>
          <w:kern w:val="2"/>
          <w:sz w:val="21"/>
          <w:szCs w:val="21"/>
          <w:highlight w:val="none"/>
        </w:rPr>
      </w:pPr>
      <w:r>
        <w:rPr>
          <w:rFonts w:hint="eastAsia" w:ascii="仿宋_GB2312" w:hAnsi="华文仿宋" w:eastAsia="仿宋_GB2312" w:cs="Times New Roman"/>
          <w:kern w:val="2"/>
          <w:sz w:val="21"/>
          <w:szCs w:val="21"/>
          <w:highlight w:val="none"/>
        </w:rPr>
        <w:t>　　西华大学图书馆馆长、四川学术成果分析与应用研究中心主任吕先竞教授介绍说，2013年，四川省成立了学术成果分析与应用研究中心。该中心目前正在建立四川各高校的的学术成果数据库，建成后将针对学科进行系统科学的分析，通过发布分析报告为高校学术研究提供参考，助推高校教育质量提升。</w:t>
      </w:r>
    </w:p>
    <w:p>
      <w:pPr>
        <w:pStyle w:val="9"/>
        <w:shd w:val="clear" w:color="auto" w:fill="auto"/>
        <w:spacing w:before="0" w:beforeAutospacing="0" w:after="0" w:afterAutospacing="0" w:line="300" w:lineRule="atLeast"/>
        <w:rPr>
          <w:rFonts w:hint="eastAsia" w:ascii="仿宋_GB2312" w:hAnsi="华文仿宋" w:eastAsia="仿宋_GB2312" w:cs="Times New Roman"/>
          <w:kern w:val="2"/>
          <w:sz w:val="21"/>
          <w:szCs w:val="21"/>
          <w:highlight w:val="none"/>
          <w:lang w:eastAsia="zh-CN"/>
        </w:rPr>
      </w:pPr>
      <w:r>
        <w:rPr>
          <w:rFonts w:hint="eastAsia" w:ascii="仿宋_GB2312" w:hAnsi="华文仿宋" w:eastAsia="仿宋_GB2312" w:cs="Times New Roman"/>
          <w:kern w:val="2"/>
          <w:sz w:val="21"/>
          <w:szCs w:val="21"/>
          <w:highlight w:val="none"/>
        </w:rPr>
        <w:t>　</w:t>
      </w:r>
    </w:p>
    <w:p>
      <w:pPr>
        <w:pStyle w:val="9"/>
        <w:shd w:val="clear" w:color="auto" w:fill="auto"/>
        <w:spacing w:before="0" w:beforeAutospacing="0" w:after="0" w:afterAutospacing="0" w:line="300" w:lineRule="atLeast"/>
        <w:rPr>
          <w:rFonts w:ascii="仿宋_GB2312" w:hAnsi="华文仿宋" w:eastAsia="仿宋_GB2312" w:cs="Times New Roman"/>
          <w:kern w:val="2"/>
          <w:sz w:val="21"/>
          <w:szCs w:val="21"/>
          <w:highlight w:val="none"/>
        </w:rPr>
      </w:pPr>
    </w:p>
    <w:p>
      <w:pPr>
        <w:shd w:val="clear" w:color="auto" w:fill="auto"/>
        <w:ind w:firstLine="0" w:firstLineChars="0"/>
        <w:rPr>
          <w:rFonts w:ascii="仿宋" w:hAnsi="仿宋" w:eastAsia="仿宋"/>
          <w:szCs w:val="21"/>
          <w:highlight w:val="none"/>
        </w:rPr>
      </w:pPr>
    </w:p>
    <w:p>
      <w:pPr>
        <w:shd w:val="clear" w:color="auto" w:fill="auto"/>
        <w:ind w:firstLine="0" w:firstLineChars="0"/>
        <w:rPr>
          <w:rFonts w:ascii="仿宋" w:hAnsi="仿宋" w:eastAsia="仿宋"/>
          <w:szCs w:val="21"/>
          <w:highlight w:val="none"/>
        </w:rPr>
      </w:pPr>
    </w:p>
    <w:p>
      <w:pPr>
        <w:shd w:val="clear" w:color="auto" w:fill="auto"/>
        <w:ind w:firstLine="0" w:firstLineChars="0"/>
        <w:rPr>
          <w:rFonts w:ascii="仿宋" w:hAnsi="仿宋" w:eastAsia="仿宋"/>
          <w:szCs w:val="21"/>
          <w:highlight w:val="none"/>
        </w:rPr>
      </w:pPr>
    </w:p>
    <w:p>
      <w:pPr>
        <w:shd w:val="clear" w:color="auto" w:fill="auto"/>
        <w:ind w:firstLine="0" w:firstLineChars="0"/>
        <w:rPr>
          <w:rFonts w:ascii="仿宋" w:hAnsi="仿宋" w:eastAsia="仿宋"/>
          <w:szCs w:val="21"/>
          <w:highlight w:val="none"/>
        </w:rPr>
      </w:pPr>
      <w:r>
        <w:rPr>
          <w:rFonts w:ascii="隶书" w:hAnsi="隶书" w:eastAsia="隶书" w:cs="Times New Roman"/>
          <w:kern w:val="0"/>
          <w:sz w:val="21"/>
          <w:szCs w:val="21"/>
          <w:highlight w:val="none"/>
          <w:lang w:val="en-US" w:eastAsia="zh-CN" w:bidi="ar-SA"/>
        </w:rPr>
        <w:pict>
          <v:shape id="横卷形 2" o:spid="_x0000_s1035" type="#_x0000_t98" style="position:absolute;left:0;margin-left:-6.7pt;margin-top:-3.65pt;height:46pt;width:99.3pt;rotation:0f;z-index:251658240;" o:ole="f" fillcolor="#C0C0C0"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spacing w:line="500" w:lineRule="exact"/>
                    <w:ind w:firstLine="0" w:firstLineChars="0"/>
                    <w:rPr>
                      <w:rFonts w:ascii="华文新魏" w:hAnsi="华文新魏" w:eastAsia="华文新魏"/>
                      <w:b/>
                      <w:sz w:val="36"/>
                      <w:szCs w:val="28"/>
                      <w:highlight w:val="yellow"/>
                    </w:rPr>
                  </w:pPr>
                  <w:r>
                    <w:rPr>
                      <w:rFonts w:hint="eastAsia" w:ascii="华文新魏" w:hAnsi="华文新魏" w:eastAsia="华文新魏"/>
                      <w:b/>
                      <w:sz w:val="36"/>
                      <w:szCs w:val="28"/>
                      <w:highlight w:val="none"/>
                    </w:rPr>
                    <w:t>工作简讯</w:t>
                  </w:r>
                </w:p>
              </w:txbxContent>
            </v:textbox>
          </v:shape>
        </w:pict>
      </w:r>
    </w:p>
    <w:p>
      <w:pPr>
        <w:shd w:val="clear" w:color="auto" w:fill="auto"/>
        <w:ind w:firstLine="420"/>
        <w:rPr>
          <w:rFonts w:ascii="仿宋" w:hAnsi="仿宋" w:eastAsia="仿宋"/>
          <w:szCs w:val="21"/>
          <w:highlight w:val="none"/>
        </w:rPr>
      </w:pPr>
    </w:p>
    <w:p>
      <w:pPr>
        <w:widowControl w:val="0"/>
        <w:shd w:val="clear" w:color="auto" w:fill="auto"/>
        <w:autoSpaceDN w:val="0"/>
        <w:ind w:firstLine="0" w:firstLineChars="0"/>
        <w:rPr>
          <w:rFonts w:ascii="隶书" w:hAnsi="隶书" w:eastAsia="隶书" w:cs="Times New Roman"/>
          <w:kern w:val="0"/>
          <w:szCs w:val="21"/>
          <w:highlight w:val="none"/>
        </w:rPr>
      </w:pPr>
    </w:p>
    <w:p>
      <w:pPr>
        <w:widowControl/>
        <w:shd w:val="clear" w:color="auto" w:fill="auto"/>
        <w:wordWrap/>
        <w:adjustRightInd/>
        <w:snapToGrid/>
        <w:spacing w:line="320" w:lineRule="exact"/>
        <w:ind w:left="0" w:leftChars="0" w:right="0" w:firstLine="420" w:firstLineChars="200"/>
        <w:jc w:val="both"/>
        <w:textAlignment w:val="auto"/>
        <w:outlineLvl w:val="9"/>
        <w:rPr>
          <w:rFonts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1日，安徽省应用型本科高校联盟（行知联盟）“应用型人才培养模式改革”专题研讨会议在巢湖学院召开。联盟秘书处、联盟17所高校的教务处长、教研科长及其相关专业负责人等50余名代表出席了会议，我校教务处副处长罗忠等三人代表安徽三联学院参加了会议。</w:t>
      </w:r>
    </w:p>
    <w:p>
      <w:pPr>
        <w:widowControl/>
        <w:shd w:val="clear" w:color="auto" w:fill="auto"/>
        <w:wordWrap/>
        <w:adjustRightInd/>
        <w:snapToGrid/>
        <w:spacing w:line="320" w:lineRule="exact"/>
        <w:ind w:left="0" w:leftChars="0" w:right="0" w:firstLine="420" w:firstLineChars="200"/>
        <w:jc w:val="both"/>
        <w:textAlignment w:val="auto"/>
        <w:outlineLvl w:val="9"/>
        <w:rPr>
          <w:rFonts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11月8-9日，第三届安徽省高校教师就业创业指导课程教学大赛决赛在安徽建筑大学举行。全省高校的51名选手入围本次决赛，经过激烈角逐，我校选手杨贤芳老师荣获一等奖。</w:t>
      </w:r>
    </w:p>
    <w:p>
      <w:pPr>
        <w:widowControl/>
        <w:shd w:val="clear" w:color="auto" w:fill="auto"/>
        <w:wordWrap/>
        <w:adjustRightInd/>
        <w:snapToGrid/>
        <w:spacing w:line="320" w:lineRule="exact"/>
        <w:ind w:left="0" w:leftChars="0" w:right="0" w:firstLine="420" w:firstLineChars="200"/>
        <w:jc w:val="both"/>
        <w:textAlignment w:val="auto"/>
        <w:outlineLvl w:val="9"/>
        <w:rPr>
          <w:rFonts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8日，2014年“TI杯”安徽省第九届大学生电子设计竞赛总结暨颁奖大会在安徽工程大学举行，我校电子电气工程学院组建的三支代表队分别获得本科组一等奖、二等奖、三等奖的优异成绩。其中朱才昌、陈友龙、聂建意三人小组荣获电磁类安徽省一等奖。</w:t>
      </w:r>
    </w:p>
    <w:p>
      <w:pPr>
        <w:widowControl/>
        <w:shd w:val="clear" w:color="auto" w:fill="auto"/>
        <w:wordWrap/>
        <w:adjustRightInd/>
        <w:snapToGrid/>
        <w:spacing w:line="320" w:lineRule="exact"/>
        <w:ind w:left="0" w:leftChars="0" w:right="0" w:firstLine="420" w:firstLineChars="200"/>
        <w:jc w:val="both"/>
        <w:textAlignment w:val="auto"/>
        <w:outlineLvl w:val="9"/>
        <w:rPr>
          <w:rFonts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11月11日，我校召开2014-2015学年第三次教学工作联席会议。会上，</w:t>
      </w:r>
      <w:r>
        <w:rPr>
          <w:rFonts w:hint="eastAsia" w:ascii="仿宋_GB2312" w:hAnsi="华文仿宋" w:eastAsia="仿宋_GB2312" w:cs="Times New Roman"/>
          <w:szCs w:val="21"/>
          <w:highlight w:val="none"/>
          <w:lang w:eastAsia="zh-CN"/>
        </w:rPr>
        <w:t>评建办、</w:t>
      </w:r>
      <w:r>
        <w:rPr>
          <w:rFonts w:hint="eastAsia" w:ascii="仿宋_GB2312" w:hAnsi="华文仿宋" w:eastAsia="仿宋_GB2312" w:cs="Times New Roman"/>
          <w:szCs w:val="21"/>
          <w:highlight w:val="none"/>
        </w:rPr>
        <w:t>教务处等部门分别就近期的评建工作、“教学质量管理月”实施方案、实验室建设与教学、2015届本科毕业生实习实训的安排等工作做了详细汇报。副院长姜发根要求各单位要以大局意识来沟通协调相互间的工作关系，明确工作目的，树立“以评促改，重在建设”的意识，扎扎实实做好考试卷、毕业论文（设计）、课堂教学、实验室建设与实验教学、实践基地建设、教学管理等六个方面工作。</w:t>
      </w:r>
    </w:p>
    <w:p>
      <w:pPr>
        <w:widowControl/>
        <w:shd w:val="clear" w:color="auto" w:fill="auto"/>
        <w:wordWrap/>
        <w:adjustRightInd/>
        <w:snapToGrid/>
        <w:spacing w:line="320" w:lineRule="exact"/>
        <w:ind w:left="0" w:leftChars="0" w:right="0" w:firstLine="420" w:firstLineChars="200"/>
        <w:jc w:val="both"/>
        <w:textAlignment w:val="auto"/>
        <w:outlineLvl w:val="9"/>
        <w:rPr>
          <w:rFonts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11月11日至12日，由安徽省教育厅、德国下萨克森州科学与文化部主办，合肥学院、黄山学院承办的第七届中德应用型高等教育研究与发展研讨会暨中国长三角地区应用型本科高校联盟成立大会在合肥学院举行。</w:t>
      </w:r>
      <w:r>
        <w:rPr>
          <w:rFonts w:hint="eastAsia" w:ascii="仿宋_GB2312" w:hAnsi="仿宋_GB2312" w:eastAsia="仿宋_GB2312" w:cs="仿宋_GB2312"/>
          <w:szCs w:val="21"/>
          <w:highlight w:val="none"/>
        </w:rPr>
        <w:t>我校教务处蔡文芬处长、罗忠副处长等三人应邀</w:t>
      </w:r>
      <w:r>
        <w:rPr>
          <w:rFonts w:hint="eastAsia" w:ascii="仿宋_GB2312" w:hAnsi="华文仿宋" w:eastAsia="仿宋_GB2312" w:cs="Times New Roman"/>
          <w:szCs w:val="21"/>
          <w:highlight w:val="none"/>
        </w:rPr>
        <w:t>参加了会议。</w:t>
      </w:r>
    </w:p>
    <w:p>
      <w:pPr>
        <w:widowControl/>
        <w:shd w:val="clear" w:color="auto" w:fill="auto"/>
        <w:wordWrap/>
        <w:adjustRightInd/>
        <w:snapToGrid/>
        <w:spacing w:line="320" w:lineRule="exact"/>
        <w:ind w:left="0" w:leftChars="0" w:right="0" w:firstLine="420" w:firstLineChars="200"/>
        <w:jc w:val="both"/>
        <w:textAlignment w:val="auto"/>
        <w:outlineLvl w:val="9"/>
        <w:rPr>
          <w:rFonts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14日，我校召开2015届本科毕业论文（设计）选题质量检查会。会上，教务处汇报了2015届本科毕业论文（设计）选题检查工作情况，随后检查组专家根据各学院的选题检查信息表及教务处统计数据，从选题的表述、范围、重复情况、研究切入点以及选题与专业的吻合度等方面给出了具体可行的修改意见。</w:t>
      </w:r>
    </w:p>
    <w:p>
      <w:pPr>
        <w:widowControl/>
        <w:shd w:val="clear" w:color="auto" w:fill="auto"/>
        <w:wordWrap/>
        <w:adjustRightInd/>
        <w:snapToGrid/>
        <w:spacing w:line="320" w:lineRule="exact"/>
        <w:ind w:left="0" w:leftChars="0" w:right="0" w:firstLine="420" w:firstLineChars="200"/>
        <w:jc w:val="both"/>
        <w:textAlignment w:val="auto"/>
        <w:outlineLvl w:val="9"/>
        <w:rPr>
          <w:rFonts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隶书" w:hAnsi="隶书" w:eastAsia="隶书" w:cs="Times New Roman"/>
          <w:kern w:val="0"/>
          <w:szCs w:val="21"/>
          <w:highlight w:val="none"/>
          <w:lang w:val="en-US" w:eastAsia="zh-CN"/>
        </w:rPr>
        <w:t xml:space="preserve"> </w:t>
      </w:r>
      <w:r>
        <w:rPr>
          <w:rFonts w:hint="eastAsia" w:ascii="仿宋_GB2312" w:hAnsi="华文仿宋" w:eastAsia="仿宋_GB2312" w:cs="Times New Roman"/>
          <w:szCs w:val="21"/>
          <w:highlight w:val="none"/>
        </w:rPr>
        <w:t>11月18日，德国下州科文部原高等教育处处长费希特（Fichter）博士莅临我校讲座。费希特（Fichter）博士以“质量保证体系”为题，从中德两国应用型大学与综合性大学的区别比较切入，重点就质量保障体系中的评估与专业认证方面进行了详细阐述。讲座中，他还与各相关单位负责人就实习实训的开展、应用大学毕业论文选题等议题进行了深入交流。</w:t>
      </w:r>
    </w:p>
    <w:p>
      <w:pPr>
        <w:widowControl/>
        <w:shd w:val="clear" w:color="auto" w:fill="auto"/>
        <w:wordWrap/>
        <w:adjustRightInd/>
        <w:snapToGrid/>
        <w:spacing w:line="320" w:lineRule="exact"/>
        <w:ind w:left="0" w:leftChars="0" w:right="0" w:firstLine="420" w:firstLineChars="200"/>
        <w:jc w:val="both"/>
        <w:textAlignment w:val="auto"/>
        <w:outlineLvl w:val="9"/>
        <w:rPr>
          <w:rFonts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19日，我校召开了2014-2015学年第一学期学生座谈会。来自各二级学院59名不同年级的学生参加了座谈会。会上，同学们充分发扬主人翁精神，积极发言，从教师教学、课程建设等方面提出了一些中肯的意见和建议。教务处罗忠、倪江利副处长一一作出了分析解答，并表示对学生反映的问题会及时反馈给各相关单位和领导。</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20日，我校召开了2014-2015学年第一学期教师座谈会。座谈会围绕在提高教学质量中如何发挥教师自身力量、如何促进教学科研、如何做好学生教育、专业成长与职称评定等相关议题进行了深入探讨。各位教师代表结合自己工作体会，从学校目前办学形势和评建需求出发，畅所欲言，提出了很多有益的宝贵意见和建议。教务处处长蔡文芬指出，今年是迎评促建的关键一年，希望全体教师齐心协力、共同努力，发挥教师在教学环节的重要作用。</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21日，我校召开2014年学生资助工作座谈会。校党委副书记鲁先长出席会议。座谈会上，来自各学院的受助学生代表，分别围绕国家奖助学金的评审程序、奖助学金使用情况和对学校资助工作的意见和建议等方面踊跃发言；对国家和学校所给予的关爱和帮助表示感谢。学生处针对学生所反映的问题给予现场解答。</w:t>
      </w:r>
    </w:p>
    <w:p>
      <w:pPr>
        <w:widowControl/>
        <w:shd w:val="clear" w:color="auto" w:fill="auto"/>
        <w:wordWrap/>
        <w:adjustRightInd/>
        <w:snapToGrid/>
        <w:spacing w:line="320" w:lineRule="exact"/>
        <w:ind w:left="0" w:leftChars="0" w:right="0" w:firstLine="420" w:firstLineChars="200"/>
        <w:jc w:val="both"/>
        <w:textAlignment w:val="auto"/>
        <w:outlineLvl w:val="9"/>
        <w:rPr>
          <w:rFonts w:ascii="仿宋_GB2312" w:hAnsi="华文仿宋" w:eastAsia="仿宋_GB2312"/>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28日，我校组织召开了2014-2015学年度第一学期第四次服务学生工作例会。校党委副书记鲁先长出席会议。会上，主要总结了前期学校文明督查情况并对落实“光盘行动”进行了部署，同时，分享了学籍管理方面的经验并商讨学生管理方面的某些问题。鲁先长副书记指出，要抓好公共场所文明创建，鼓励学生积极参加社会公益活动，将社会公益服务纳入学生综合素质测评指标体系中，规范认证，真正落实大学生志愿服务工作；要启动教师党员进社区活动，与建立的志愿服务基地联系起来，扩展基地建设，满足学生需求，通过坚持不懈地努力，打造“公益三联”品牌；结合学校实际，有针对性地开展学风建设，严格落实，抓紧抓好，积极营造良好学风氛围，为明年顺利通过本科教学工作合格评估打下坚实的基础。</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28日，我校召开试卷命题专项培训会。会上，教务处副处长倪江利首先针对上学期试卷检查中出现的问题进行了阐述。接着，陈国平教授分别对理工类与人文类试卷的题型、基本要求和内涵等做了详细讲解，对试卷、答题纸、参考答案、评分标准以及评分细则等提出了规范性要求。陈教授还指出试卷命题既要注重检测学生对基础知识和基本技能的掌握，又要重视检测学生运用知识分析问题、解决问题的能力和实践能力。此次会议对切实提高教师试卷命题的质量和规范，进一步做好迎评促建工作起到了推进作用。</w:t>
      </w:r>
    </w:p>
    <w:p>
      <w:pPr>
        <w:shd w:val="clear" w:color="auto" w:fill="auto"/>
        <w:ind w:firstLine="420"/>
        <w:rPr>
          <w:rFonts w:hint="eastAsia" w:ascii="仿宋_GB2312" w:hAnsi="华文仿宋" w:eastAsia="仿宋_GB2312" w:cs="Times New Roman"/>
          <w:szCs w:val="21"/>
          <w:highlight w:val="none"/>
        </w:rPr>
      </w:pPr>
    </w:p>
    <w:p>
      <w:pPr>
        <w:shd w:val="clear" w:color="auto" w:fill="auto"/>
        <w:ind w:firstLine="420"/>
        <w:rPr>
          <w:rFonts w:ascii="仿宋_GB2312" w:hAnsi="仿宋_GB2312" w:eastAsia="仿宋_GB2312" w:cs="仿宋_GB2312"/>
          <w:color w:val="000000"/>
          <w:highlight w:val="none"/>
        </w:rPr>
      </w:pPr>
      <w:r>
        <w:rPr>
          <w:rFonts w:ascii="仿宋_GB2312" w:hAnsi="仿宋_GB2312" w:eastAsia="仿宋_GB2312" w:cs="仿宋_GB2312"/>
          <w:color w:val="000000"/>
          <w:kern w:val="2"/>
          <w:sz w:val="21"/>
          <w:szCs w:val="22"/>
          <w:highlight w:val="none"/>
          <w:lang w:val="en-US" w:eastAsia="zh-CN" w:bidi="ar-SA"/>
        </w:rPr>
        <w:pict>
          <v:shape id="横卷形 4" o:spid="_x0000_s1036" type="#_x0000_t98" style="position:absolute;left:0;margin-left:-2.7pt;margin-top:7.15pt;height:46.8pt;width:96.1pt;rotation:0f;z-index:251659264;" o:ole="f" fillcolor="#C0C0C0"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spacing w:line="480" w:lineRule="exact"/>
                    <w:ind w:firstLine="0" w:firstLineChars="0"/>
                    <w:jc w:val="center"/>
                    <w:rPr>
                      <w:rFonts w:ascii="华文新魏" w:hAnsi="华文新魏" w:eastAsia="华文新魏"/>
                      <w:b/>
                      <w:sz w:val="36"/>
                      <w:szCs w:val="28"/>
                    </w:rPr>
                  </w:pPr>
                  <w:r>
                    <w:rPr>
                      <w:rFonts w:hint="eastAsia" w:ascii="华文新魏" w:hAnsi="华文新魏" w:eastAsia="华文新魏"/>
                      <w:b/>
                      <w:sz w:val="36"/>
                      <w:szCs w:val="28"/>
                    </w:rPr>
                    <w:t>评建专题</w:t>
                  </w:r>
                </w:p>
              </w:txbxContent>
            </v:textbox>
          </v:shape>
        </w:pict>
      </w:r>
    </w:p>
    <w:p>
      <w:pPr>
        <w:shd w:val="clear" w:color="auto" w:fill="auto"/>
        <w:ind w:firstLine="0" w:firstLineChars="0"/>
        <w:jc w:val="center"/>
        <w:rPr>
          <w:rFonts w:ascii="黑体" w:hAnsi="黑体" w:eastAsia="黑体" w:cs="仿宋_GB2312"/>
          <w:color w:val="000000"/>
          <w:sz w:val="28"/>
          <w:szCs w:val="28"/>
          <w:highlight w:val="none"/>
        </w:rPr>
      </w:pPr>
    </w:p>
    <w:p>
      <w:pPr>
        <w:widowControl w:val="0"/>
        <w:shd w:val="clear" w:color="auto" w:fill="auto"/>
        <w:autoSpaceDN w:val="0"/>
        <w:ind w:firstLine="0" w:firstLineChars="0"/>
        <w:rPr>
          <w:rFonts w:ascii="隶书" w:hAnsi="隶书" w:eastAsia="隶书" w:cs="Times New Roman"/>
          <w:kern w:val="0"/>
          <w:szCs w:val="21"/>
          <w:highlight w:val="none"/>
        </w:rPr>
      </w:pPr>
    </w:p>
    <w:p>
      <w:pPr>
        <w:shd w:val="clear" w:color="auto" w:fill="auto"/>
        <w:ind w:firstLine="420"/>
        <w:rPr>
          <w:rFonts w:hint="eastAsia" w:ascii="隶书" w:hAnsi="隶书" w:eastAsia="隶书" w:cs="Times New Roman"/>
          <w:kern w:val="0"/>
          <w:szCs w:val="21"/>
          <w:highlight w:val="none"/>
        </w:rPr>
      </w:pP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11月11日，学校召开2014-2015学年第三次教学工作联席会议，评建办主任操晓峰出席会议。</w:t>
      </w:r>
      <w:r>
        <w:rPr>
          <w:rFonts w:hint="eastAsia" w:ascii="仿宋_GB2312" w:hAnsi="华文仿宋" w:eastAsia="仿宋_GB2312" w:cs="Times New Roman"/>
          <w:szCs w:val="21"/>
          <w:highlight w:val="none"/>
          <w:lang w:eastAsia="zh-CN"/>
        </w:rPr>
        <w:t>操晓峰就近期的评建工作做了详细汇报。</w:t>
      </w:r>
      <w:r>
        <w:rPr>
          <w:rFonts w:hint="eastAsia" w:ascii="仿宋_GB2312" w:hAnsi="华文仿宋" w:eastAsia="仿宋_GB2312" w:cs="Times New Roman"/>
          <w:szCs w:val="21"/>
          <w:highlight w:val="none"/>
        </w:rPr>
        <w:t xml:space="preserve"> </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14日，我校召开2015届本科毕业论文（设计）选题质量检查会，评建办主任操晓峰出席会。会上，他结合评估工作指出，此次选题质量检查工作很有成效，各学院的检查整改工作要坚决彻底，要结合专家意见，及时召开整改工作专题会，以教研室为单位，加强内部培训，学校将持续跟踪，随时抽查整改工作，切实提高毕业论文质量。</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下旬，学校邀请校外专家对我校本科教学质量进行诊断，专家从“人才培养方案的编制质量”、“专业教学计划的执行质量”和“各专业人才培养目标的实现程度”等方面进行了考察，提出了一些中肯的改进建议和意见。</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隶书" w:hAnsi="隶书" w:eastAsia="隶书" w:cs="Times New Roman"/>
          <w:kern w:val="0"/>
          <w:szCs w:val="21"/>
          <w:highlight w:val="none"/>
        </w:rPr>
        <w:t>·</w:t>
      </w:r>
      <w:r>
        <w:rPr>
          <w:rFonts w:hint="eastAsia" w:ascii="仿宋_GB2312" w:hAnsi="华文仿宋" w:eastAsia="仿宋_GB2312" w:cs="Times New Roman"/>
          <w:szCs w:val="21"/>
          <w:highlight w:val="none"/>
        </w:rPr>
        <w:t>11月下旬到12月初，学校本着“以评促改”的精神，由教务处牵头，多部门参加，对我校2014届毕业论文（设计）进行了再一次检查，对检查中发现的问题，</w:t>
      </w:r>
      <w:r>
        <w:rPr>
          <w:rFonts w:hint="eastAsia" w:ascii="仿宋_GB2312" w:hAnsi="华文仿宋" w:eastAsia="仿宋_GB2312" w:cs="Times New Roman"/>
          <w:szCs w:val="21"/>
          <w:highlight w:val="none"/>
          <w:lang w:eastAsia="zh-CN"/>
        </w:rPr>
        <w:t>督促</w:t>
      </w:r>
      <w:r>
        <w:rPr>
          <w:rFonts w:hint="eastAsia" w:ascii="仿宋_GB2312" w:hAnsi="华文仿宋" w:eastAsia="仿宋_GB2312" w:cs="Times New Roman"/>
          <w:szCs w:val="21"/>
          <w:highlight w:val="none"/>
        </w:rPr>
        <w:t>各有关教学单位进行整改。</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p>
    <w:p>
      <w:pPr>
        <w:shd w:val="clear" w:color="auto" w:fill="auto"/>
        <w:ind w:firstLine="420"/>
        <w:rPr>
          <w:rFonts w:ascii="仿宋_GB2312" w:hAnsi="仿宋_GB2312" w:eastAsia="仿宋_GB2312" w:cs="仿宋_GB2312"/>
          <w:color w:val="000000"/>
          <w:highlight w:val="none"/>
        </w:rPr>
      </w:pPr>
    </w:p>
    <w:p>
      <w:pPr>
        <w:shd w:val="clear" w:color="auto" w:fill="auto"/>
        <w:ind w:firstLine="0" w:firstLineChars="0"/>
        <w:rPr>
          <w:rFonts w:ascii="仿宋" w:hAnsi="仿宋" w:eastAsia="仿宋"/>
          <w:szCs w:val="21"/>
          <w:highlight w:val="none"/>
        </w:rPr>
      </w:pPr>
      <w:r>
        <w:rPr>
          <w:rFonts w:ascii="隶书" w:hAnsi="隶书" w:eastAsia="隶书" w:cs="Times New Roman"/>
          <w:kern w:val="0"/>
          <w:sz w:val="21"/>
          <w:szCs w:val="21"/>
          <w:highlight w:val="none"/>
          <w:lang w:val="en-US" w:eastAsia="zh-CN" w:bidi="ar-SA"/>
        </w:rPr>
        <w:pict>
          <v:shape id="横卷形 6" o:spid="_x0000_s1037" type="#_x0000_t98" style="position:absolute;left:0;margin-left:1.75pt;margin-top:-5.8pt;height:46.8pt;width:96.1pt;rotation:0f;z-index:251660288;" o:ole="f" fillcolor="#C0C0C0"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spacing w:line="480" w:lineRule="exact"/>
                    <w:ind w:firstLine="0" w:firstLineChars="0"/>
                    <w:jc w:val="center"/>
                    <w:rPr>
                      <w:rFonts w:ascii="华文新魏" w:hAnsi="华文新魏" w:eastAsia="华文新魏"/>
                      <w:b/>
                      <w:sz w:val="36"/>
                      <w:szCs w:val="28"/>
                    </w:rPr>
                  </w:pPr>
                  <w:r>
                    <w:rPr>
                      <w:rFonts w:hint="eastAsia" w:ascii="华文新魏" w:hAnsi="华文新魏" w:eastAsia="华文新魏"/>
                      <w:b/>
                      <w:sz w:val="36"/>
                      <w:szCs w:val="28"/>
                    </w:rPr>
                    <w:t>学习园地</w:t>
                  </w:r>
                </w:p>
              </w:txbxContent>
            </v:textbox>
          </v:shape>
        </w:pict>
      </w:r>
    </w:p>
    <w:p>
      <w:pPr>
        <w:shd w:val="clear" w:color="auto" w:fill="auto"/>
        <w:ind w:firstLine="420"/>
        <w:rPr>
          <w:rFonts w:ascii="仿宋" w:hAnsi="仿宋" w:eastAsia="仿宋"/>
          <w:szCs w:val="21"/>
          <w:highlight w:val="none"/>
        </w:rPr>
      </w:pPr>
    </w:p>
    <w:p>
      <w:pPr>
        <w:shd w:val="clear" w:color="auto" w:fill="auto"/>
        <w:ind w:left="0" w:leftChars="0" w:firstLine="0" w:firstLineChars="0"/>
        <w:rPr>
          <w:rFonts w:ascii="仿宋" w:hAnsi="仿宋" w:eastAsia="仿宋"/>
          <w:szCs w:val="21"/>
          <w:highlight w:val="none"/>
        </w:rPr>
      </w:pPr>
    </w:p>
    <w:p>
      <w:pPr>
        <w:widowControl w:val="0"/>
        <w:shd w:val="clear" w:color="auto" w:fill="auto"/>
        <w:spacing w:line="240" w:lineRule="auto"/>
        <w:ind w:firstLine="720"/>
        <w:jc w:val="center"/>
        <w:rPr>
          <w:rFonts w:hint="eastAsia" w:ascii="黑体" w:hAnsi="黑体" w:eastAsia="黑体"/>
          <w:sz w:val="36"/>
          <w:szCs w:val="36"/>
          <w:highlight w:val="none"/>
          <w:lang w:val="en-US" w:eastAsia="zh-CN"/>
        </w:rPr>
      </w:pPr>
      <w:r>
        <w:rPr>
          <w:rFonts w:hint="eastAsia" w:ascii="黑体" w:hAnsi="黑体" w:eastAsia="黑体"/>
          <w:sz w:val="36"/>
          <w:szCs w:val="36"/>
          <w:highlight w:val="none"/>
          <w:lang w:val="en-US" w:eastAsia="zh-CN"/>
        </w:rPr>
        <w:t>教育部关于开展现代学徒制试点工作的意见</w:t>
      </w:r>
    </w:p>
    <w:p>
      <w:pPr>
        <w:widowControl/>
        <w:shd w:val="clear" w:color="auto" w:fill="auto"/>
        <w:wordWrap/>
        <w:adjustRightInd/>
        <w:snapToGrid/>
        <w:spacing w:line="240" w:lineRule="auto"/>
        <w:ind w:left="0" w:leftChars="0" w:right="0" w:firstLine="420" w:firstLineChars="200"/>
        <w:jc w:val="right"/>
        <w:textAlignment w:val="auto"/>
        <w:outlineLvl w:val="9"/>
        <w:rPr>
          <w:rFonts w:hint="eastAsia" w:ascii="仿宋_GB2312" w:hAnsi="华文仿宋" w:eastAsia="仿宋_GB2312" w:cs="Times New Roman"/>
          <w:b/>
          <w:bCs/>
          <w:szCs w:val="21"/>
          <w:highlight w:val="none"/>
          <w:lang w:val="en-US" w:eastAsia="zh-CN"/>
        </w:rPr>
      </w:pPr>
      <w:r>
        <w:rPr>
          <w:rFonts w:hint="eastAsia" w:ascii="仿宋_GB2312" w:hAnsi="华文仿宋" w:eastAsia="仿宋_GB2312" w:cs="Times New Roman"/>
          <w:b/>
          <w:bCs/>
          <w:szCs w:val="21"/>
          <w:highlight w:val="none"/>
          <w:lang w:val="en-US" w:eastAsia="zh-CN"/>
        </w:rPr>
        <w:t>教职成[2014]9号</w:t>
      </w:r>
    </w:p>
    <w:p>
      <w:pPr>
        <w:shd w:val="clear" w:color="auto" w:fill="auto"/>
        <w:ind w:firstLine="420"/>
        <w:rPr>
          <w:rFonts w:hint="eastAsia" w:ascii="仿宋" w:hAnsi="仿宋" w:eastAsia="仿宋"/>
          <w:szCs w:val="21"/>
          <w:highlight w:val="none"/>
        </w:rPr>
      </w:pPr>
      <w:r>
        <w:rPr>
          <w:rFonts w:hint="eastAsia" w:ascii="仿宋" w:hAnsi="仿宋" w:eastAsia="仿宋"/>
          <w:szCs w:val="21"/>
          <w:highlight w:val="none"/>
        </w:rPr>
        <w:t xml:space="preserve"> </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各省、自治区、直辖市教育厅（教委），各计划单列市教育局，新疆生产建设兵团教育局，有关单位：</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为贯彻党的十八届三中全会和全国职业教育工作会议精神，深化产教融合、校企合作，进一步完善校企合作育人机制，创新技术技能人才培养模式，根据《国务院关于加快发展现代职业教育的决定》（国发〔2014〕19号）要求，现就开展现代学徒制试点工作提出如下意见。</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b/>
          <w:bCs/>
          <w:szCs w:val="21"/>
          <w:highlight w:val="none"/>
        </w:rPr>
      </w:pPr>
      <w:r>
        <w:rPr>
          <w:rFonts w:hint="eastAsia" w:ascii="仿宋_GB2312" w:hAnsi="华文仿宋" w:eastAsia="仿宋_GB2312" w:cs="Times New Roman"/>
          <w:szCs w:val="21"/>
          <w:highlight w:val="none"/>
        </w:rPr>
        <w:t>　　</w:t>
      </w:r>
      <w:r>
        <w:rPr>
          <w:rFonts w:hint="eastAsia" w:ascii="仿宋_GB2312" w:hAnsi="华文仿宋" w:eastAsia="仿宋_GB2312" w:cs="Times New Roman"/>
          <w:b/>
          <w:bCs/>
          <w:szCs w:val="21"/>
          <w:highlight w:val="none"/>
        </w:rPr>
        <w:t>一、充分认识试点工作的重要意义</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现代学徒制有利于促进行业、企业参与职业教育人才培养全过程，实现专业设置与产业需求对接，课程内容与职业标准对接，教学过程与生产过程对接，毕业证书与职业资格证书对接，职业教育与终身学习对接，提高人才培养质量和针对性。建立现代学徒制是职业教育主动服务当前经济社会发展要求，推动职业教育体系和劳动就业体系互动发展，打通和拓宽技术技能人才培养和成长通道，推进现代职业教育体系建设的战略选择；是深化产教融合、校企合作，推进工学结合、知行合一的有效途径；是全面实施素质教育，把提高职业技能和培养职业精神高度融合，培养学生社会责任感、创新精神、实践能力的重要举措。各地要高度重视现代学徒制试点工作，加大支持力度，大胆探索实践，着力构建现代学徒制培养体系，全面提升技术技能人才的培养能力和水平。</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w:t>
      </w:r>
      <w:r>
        <w:rPr>
          <w:rFonts w:hint="eastAsia" w:ascii="仿宋_GB2312" w:hAnsi="华文仿宋" w:eastAsia="仿宋_GB2312" w:cs="Times New Roman"/>
          <w:b/>
          <w:bCs/>
          <w:szCs w:val="21"/>
          <w:highlight w:val="none"/>
        </w:rPr>
        <w:t>二、明确试点工作的总要求</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1. 指导思想</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以邓小平理论、“三个代表”重要思想、科学发展观为指导，坚持服务发展、就业导向，以推进产教融合、适应需求、提高质量为目标，以创新招生制度、管理制度和人才培养模式为突破口，以形成校企分工合作、协同育人、共同发展的长效机制为着力点，以注重整体谋划、增强政策协调、鼓励基层首创为手段，通过试点、总结、完善、推广，形成具有中国特色的现代学徒制度。</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2. 工作原则</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坚持政府统筹，协调推进。要充分发挥政府统筹协调作用，根据地方经济社会发展需求系统规划现代学徒制试点工作。把立德树人、促进人的全面发展作为试点工作的根本任务，统筹利用好政府、行业、企业、学校、科研机构等方面的资源，协调好教育、人社、财政、发改等相关部门的关系，形成合力，共同研究解决试点工作中遇到的困难和问题。</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坚持合作共赢，职责共担。要坚持校企双主体育人、学校教师和企业师傅双导师教学，明确学徒的企业员工和职业院校学生双重身份，签好学生与企业、学校与企业两个合同，形成学校和企业联合招生、联合培养、一体化育人的长效机制，切实提高生产、服务一线劳动者的综合素质和人才培养的针对性，解决好合作企业招工难问题。</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坚持因地制宜，分类指导。要根据不同地区行业、企业特点和人才培养要求，在招生与招工、学习与工作、教学与实践、学历证书与职业资格证书获取、资源建设与共享等方面因地制宜，积极探索切合实际的实现形式，形成特色。</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坚持系统设计，重点突破。要明确试点工作的目标和重点，系统设计人才培养方案、教学管理、考试评价、学生教育管理、招生与招工，以及师资配备、保障措施等工作。以服务发展为宗旨，以促进就业为导向，深化体制机制改革，统筹发挥好政府和市场的作用，力争在关键环节和重点领域取得突破。</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w:t>
      </w:r>
      <w:r>
        <w:rPr>
          <w:rFonts w:hint="eastAsia" w:ascii="仿宋_GB2312" w:hAnsi="华文仿宋" w:eastAsia="仿宋_GB2312" w:cs="Times New Roman"/>
          <w:b/>
          <w:bCs/>
          <w:szCs w:val="21"/>
          <w:highlight w:val="none"/>
        </w:rPr>
        <w:t>三、把握试点工作内涵</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1．积极推进招生与招工一体化</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招生与招工一体化是开展现代学徒制试点工作的基础。各地要积极开展“招生即招工、入校即入厂、校企联合培养”的现代学徒制试点，加强对中等和高等职业教育招生工作的统筹协调，扩大试点院校的招生自主权，推动试点院校根据合作企业需求，与合作企业共同研制招生与招工方案，扩大招生范围，改革考核方式、内容和录取办法，并将试点院校的相关招生计划纳入学校年度招生计划进行统一管理。</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lang w:val="en-US" w:eastAsia="zh-CN"/>
        </w:rPr>
        <w:t xml:space="preserve">  </w:t>
      </w:r>
      <w:r>
        <w:rPr>
          <w:rFonts w:hint="eastAsia" w:ascii="仿宋_GB2312" w:hAnsi="华文仿宋" w:eastAsia="仿宋_GB2312" w:cs="Times New Roman"/>
          <w:szCs w:val="21"/>
          <w:highlight w:val="none"/>
        </w:rPr>
        <w:t>　2．深化工学结合人才培养模式改革</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工学结合人才培养模式改革是现代学徒制试点的核心内容。各地要选择适合开展现代学徒制培养的专业，引导职业院校与合作企业根据技术技能人才成长规律和工作岗位的实际需要，共同研制人才培养方案、开发课程和教材、设计实施教学、组织考核评价、开展教学研究等。校企应签订合作协议，职业院校承担系统的专业知识学习和技能训练；企业通过师傅带徒形式，依据培养方案进行岗位技能训练，真正实现校企一体化育人。</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3．加强专兼结合师资队伍建设</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校企共建师资队伍是现代学徒制试点工作的重要任务。现代学徒制的教学任务必须由学校教师和企业师傅共同承担，形成双导师制。各地要促进校企双方密切合作，打破现有教师编制和用工制度的束缚，探索建立教师流动编制或设立兼职教师岗位，加大学校与企业之间人员互聘共用、双向挂职锻炼、横向联合技术研发和专业建设的力度。合作企业要选拔优秀高技能人才担任师傅，明确师傅的责任和待遇，师傅承担的教学任务应纳入考核，并可享受带徒津贴。试点院校要将指导教师的企业实践和技术服务纳入教师考核并作为晋升专业技术职务的重要依据。</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4．形成与现代学徒制相适应的教学管理与运行机制</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科学合理的教学管理与运行机制是现代学徒制试点工作的重要保障。各地要切实推动试点院校与合作企业根据现代学徒制的特点，共同建立教学运行与质量监控体系，共同加强过程管理。指导合作企业制定专门的学徒管理办法，保证学徒基本权益；根据教学需要，合理安排学徒岗位，分配工作任务。试点院校要根据学徒培养工学交替的特点，实行弹性学制或学分制，创新和完善教学管理与运行机制，探索全日制学历教育的多种实现形式。试点院校和合作企业共同实施考核评价，将学徒岗位工作任务完成情况纳入考核范围。</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b/>
          <w:bCs/>
          <w:szCs w:val="21"/>
          <w:highlight w:val="none"/>
        </w:rPr>
      </w:pPr>
      <w:r>
        <w:rPr>
          <w:rFonts w:hint="eastAsia" w:ascii="仿宋_GB2312" w:hAnsi="华文仿宋" w:eastAsia="仿宋_GB2312" w:cs="Times New Roman"/>
          <w:szCs w:val="21"/>
          <w:highlight w:val="none"/>
        </w:rPr>
        <w:t>　　</w:t>
      </w:r>
      <w:r>
        <w:rPr>
          <w:rFonts w:hint="eastAsia" w:ascii="仿宋_GB2312" w:hAnsi="华文仿宋" w:eastAsia="仿宋_GB2312" w:cs="Times New Roman"/>
          <w:b/>
          <w:bCs/>
          <w:szCs w:val="21"/>
          <w:highlight w:val="none"/>
        </w:rPr>
        <w:t>四、稳步推进试点工作</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1. 逐步增加试点规模</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将根据各地产业发展情况、办学条件、保障措施和试点意愿等，选择一批有条件、基础好的地市、行业、骨干企业和职业院校作为教育部首批试点单位。在总结试点经验的基础上，逐步扩大实施现代学徒制的范围和规模，使现代学徒制成为校企合作培养技术技能人才的重要途径。逐步建立起政府引导、行业参与、社会支持，企业和职业院校双主体育人的中国特色现代学徒制。</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2. 逐步丰富培养形式</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现代学徒制试点应根据不同生源特点和专业特色，因材施教，探索不同的培养形式。试点初期，各地应引导中等职业学校根据企业需求，充分利用国家注册入学政策，针对不同生源，分别制定培养方案，开展中职层次现代学徒制试点。引导高等职业院校利用自主招生、单独招生等政策，针对应届高中毕业生、中职毕业生和同等学历企业职工等不同生源特点，分类开展专科学历层次不同形式的现代学徒制试点。</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3. 逐步扩大试点范围</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　　现代学徒制包括学历教育和非学历教育。各地应结合自身实际，可以从非学历教育入手，也可以从学历教育入手，探索现代学徒制人才培养规律，积累经验后逐步扩大。鼓励试点院校采用现代学徒制形式与合作企业联合开展企业员工岗前培训和转岗培训。</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b/>
          <w:bCs/>
          <w:szCs w:val="21"/>
          <w:highlight w:val="none"/>
        </w:rPr>
      </w:pPr>
      <w:r>
        <w:rPr>
          <w:rFonts w:hint="eastAsia" w:ascii="仿宋_GB2312" w:hAnsi="华文仿宋" w:eastAsia="仿宋_GB2312" w:cs="Times New Roman"/>
          <w:b/>
          <w:bCs/>
          <w:szCs w:val="21"/>
          <w:highlight w:val="none"/>
        </w:rPr>
        <w:t>五、完善工作保障机制</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lang w:val="en-US" w:eastAsia="zh-CN"/>
        </w:rPr>
        <w:t xml:space="preserve"> </w:t>
      </w:r>
      <w:r>
        <w:rPr>
          <w:rFonts w:hint="eastAsia" w:ascii="仿宋_GB2312" w:hAnsi="华文仿宋" w:eastAsia="仿宋_GB2312" w:cs="Times New Roman"/>
          <w:szCs w:val="21"/>
          <w:highlight w:val="none"/>
        </w:rPr>
        <w:t>　</w:t>
      </w:r>
      <w:r>
        <w:rPr>
          <w:rFonts w:hint="eastAsia" w:ascii="仿宋_GB2312" w:hAnsi="华文仿宋" w:eastAsia="仿宋_GB2312" w:cs="Times New Roman"/>
          <w:szCs w:val="21"/>
          <w:highlight w:val="none"/>
          <w:lang w:val="en-US" w:eastAsia="zh-CN"/>
        </w:rPr>
        <w:t xml:space="preserve"> </w:t>
      </w:r>
      <w:r>
        <w:rPr>
          <w:rFonts w:hint="eastAsia" w:ascii="仿宋_GB2312" w:hAnsi="华文仿宋" w:eastAsia="仿宋_GB2312" w:cs="Times New Roman"/>
          <w:szCs w:val="21"/>
          <w:highlight w:val="none"/>
        </w:rPr>
        <w:t>1. 合理规划区域试点工作</w:t>
      </w:r>
    </w:p>
    <w:p>
      <w:pPr>
        <w:widowControl/>
        <w:shd w:val="clear" w:color="auto" w:fill="auto"/>
        <w:wordWrap/>
        <w:adjustRightInd/>
        <w:snapToGrid/>
        <w:spacing w:line="320" w:lineRule="exact"/>
        <w:ind w:left="0" w:leftChars="0" w:right="0" w:firstLine="0" w:firstLineChars="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lang w:val="en-US" w:eastAsia="zh-CN"/>
        </w:rPr>
        <w:t xml:space="preserve">  </w:t>
      </w:r>
      <w:r>
        <w:rPr>
          <w:rFonts w:hint="eastAsia" w:ascii="仿宋_GB2312" w:hAnsi="华文仿宋" w:eastAsia="仿宋_GB2312" w:cs="Times New Roman"/>
          <w:szCs w:val="21"/>
          <w:highlight w:val="none"/>
        </w:rPr>
        <w:t>　各地教育行政部门要根据本意见精神，结合地方实际，会同人社、财政、发改等部门，制定本地区现代学徒制试点实施办法，确定开展现代学徒制试点的行业企业和职业院校，明确试点规模、试点层次和实施步骤。</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2. 加强试点工作组织保障</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各地要加强对试点工作的领导，落实责任制，建立跨部门的试点工作领导小组，定期会商和解决有关试点工作重大问题。要有专人负责，及时协调有关部门支持试点工作。引导和鼓励行业、企业与试点院校通过组建职教集团等形式，整合资源，为现代学徒制试点搭建平台。</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3. 加大试点工作政策支持</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各地教育行政部门要推动政府出台扶持政策，加大投入力度，通过财政资助、政府购买等奖励措施，引导企业和职业院校积极开展现代学徒制试点。并按照国家有关规定，保障学生权益，保证合理报酬，落实学徒的责任保险、工伤保险，确保学生安全。大力推进“双证融通”，对经过考核达到要求的毕业生，发放相应的学历证书和职业资格证书。</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4. 加强试点工作监督检查</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加强对试点工作的监控，建立试点工作年报年检制度。各试点单位应及时总结试点工作经验，扩大宣传，年报年检内容作为下一年度单招核准和布点的依据。对于试点工作不力或造成不良影响的，将暂停试点资格。</w:t>
      </w:r>
    </w:p>
    <w:p>
      <w:pPr>
        <w:widowControl/>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华文仿宋" w:eastAsia="仿宋_GB2312" w:cs="Times New Roman"/>
          <w:szCs w:val="21"/>
          <w:highlight w:val="none"/>
        </w:rPr>
      </w:pPr>
    </w:p>
    <w:p>
      <w:pPr>
        <w:widowControl/>
        <w:shd w:val="clear" w:color="auto" w:fill="auto"/>
        <w:wordWrap/>
        <w:adjustRightInd/>
        <w:snapToGrid/>
        <w:spacing w:line="320" w:lineRule="exact"/>
        <w:ind w:left="0" w:leftChars="0" w:right="0" w:firstLine="420" w:firstLineChars="200"/>
        <w:jc w:val="right"/>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教育部</w:t>
      </w:r>
    </w:p>
    <w:p>
      <w:pPr>
        <w:widowControl/>
        <w:shd w:val="clear" w:color="auto" w:fill="auto"/>
        <w:wordWrap/>
        <w:adjustRightInd/>
        <w:snapToGrid/>
        <w:spacing w:line="320" w:lineRule="exact"/>
        <w:ind w:left="0" w:leftChars="0" w:right="0" w:firstLine="420" w:firstLineChars="200"/>
        <w:jc w:val="right"/>
        <w:textAlignment w:val="auto"/>
        <w:outlineLvl w:val="9"/>
        <w:rPr>
          <w:rFonts w:hint="eastAsia" w:ascii="仿宋_GB2312" w:hAnsi="华文仿宋" w:eastAsia="仿宋_GB2312" w:cs="Times New Roman"/>
          <w:szCs w:val="21"/>
          <w:highlight w:val="none"/>
        </w:rPr>
      </w:pPr>
      <w:r>
        <w:rPr>
          <w:rFonts w:hint="eastAsia" w:ascii="仿宋_GB2312" w:hAnsi="华文仿宋" w:eastAsia="仿宋_GB2312" w:cs="Times New Roman"/>
          <w:szCs w:val="21"/>
          <w:highlight w:val="none"/>
        </w:rPr>
        <w:t>2014年8月25日</w:t>
      </w:r>
    </w:p>
    <w:p>
      <w:pPr>
        <w:widowControl/>
        <w:shd w:val="clear" w:color="auto" w:fill="auto"/>
        <w:wordWrap/>
        <w:adjustRightInd/>
        <w:snapToGrid/>
        <w:spacing w:line="240" w:lineRule="auto"/>
        <w:ind w:left="0" w:leftChars="0" w:right="0" w:firstLine="420" w:firstLineChars="200"/>
        <w:jc w:val="both"/>
        <w:textAlignment w:val="auto"/>
        <w:outlineLvl w:val="9"/>
        <w:rPr>
          <w:rFonts w:hint="eastAsia" w:ascii="仿宋_GB2312" w:hAnsi="华文仿宋" w:eastAsia="仿宋_GB2312" w:cs="Times New Roman"/>
          <w:szCs w:val="21"/>
          <w:highlight w:val="none"/>
        </w:rPr>
      </w:pPr>
    </w:p>
    <w:p>
      <w:pPr>
        <w:shd w:val="clear" w:color="auto" w:fill="auto"/>
        <w:ind w:firstLine="420"/>
        <w:rPr>
          <w:rFonts w:ascii="仿宋" w:hAnsi="仿宋" w:eastAsia="仿宋"/>
          <w:szCs w:val="21"/>
          <w:highlight w:val="none"/>
        </w:rPr>
      </w:pPr>
    </w:p>
    <w:p>
      <w:pPr>
        <w:widowControl w:val="0"/>
        <w:shd w:val="clear" w:color="auto" w:fill="auto"/>
        <w:spacing w:line="240" w:lineRule="auto"/>
        <w:ind w:firstLine="720"/>
        <w:jc w:val="center"/>
        <w:rPr>
          <w:rFonts w:hint="eastAsia" w:ascii="黑体" w:hAnsi="黑体" w:eastAsia="黑体"/>
          <w:sz w:val="36"/>
          <w:szCs w:val="36"/>
          <w:highlight w:val="none"/>
          <w:lang w:val="en-US" w:eastAsia="zh-CN"/>
        </w:rPr>
      </w:pPr>
      <w:r>
        <w:rPr>
          <w:rFonts w:hint="eastAsia" w:ascii="黑体" w:hAnsi="黑体" w:eastAsia="黑体"/>
          <w:sz w:val="36"/>
          <w:szCs w:val="36"/>
          <w:highlight w:val="none"/>
          <w:lang w:val="en-US" w:eastAsia="zh-CN"/>
        </w:rPr>
        <w:t>做党和人民满意的好老师</w:t>
      </w:r>
    </w:p>
    <w:p>
      <w:pPr>
        <w:widowControl w:val="0"/>
        <w:shd w:val="clear" w:color="auto" w:fill="auto"/>
        <w:spacing w:line="240" w:lineRule="auto"/>
        <w:ind w:left="0" w:leftChars="0" w:firstLine="0" w:firstLineChars="0"/>
        <w:jc w:val="center"/>
        <w:rPr>
          <w:rFonts w:hint="eastAsia" w:ascii="仿宋_GB2312" w:hAnsi="仿宋_GB2312" w:eastAsia="仿宋_GB2312" w:cs="仿宋_GB2312"/>
          <w:b/>
          <w:bCs/>
          <w:color w:val="000000"/>
          <w:kern w:val="0"/>
          <w:sz w:val="21"/>
          <w:szCs w:val="21"/>
          <w:highlight w:val="none"/>
          <w:shd w:val="clear" w:color="auto" w:fill="FFFFFF"/>
          <w:lang w:val="en-US" w:eastAsia="zh-CN" w:bidi="ar-SA"/>
        </w:rPr>
      </w:pPr>
      <w:r>
        <w:rPr>
          <w:rFonts w:hint="eastAsia" w:ascii="仿宋_GB2312" w:hAnsi="仿宋_GB2312" w:eastAsia="仿宋_GB2312" w:cs="仿宋_GB2312"/>
          <w:b/>
          <w:bCs/>
          <w:color w:val="000000"/>
          <w:kern w:val="0"/>
          <w:sz w:val="21"/>
          <w:szCs w:val="21"/>
          <w:highlight w:val="none"/>
          <w:shd w:val="clear" w:color="auto" w:fill="FFFFFF"/>
          <w:lang w:val="en-US" w:eastAsia="zh-CN" w:bidi="ar-SA"/>
        </w:rPr>
        <w:t xml:space="preserve">    ——习近平同北京师范大学师生代表座谈时的讲话</w:t>
      </w:r>
    </w:p>
    <w:p>
      <w:pPr>
        <w:widowControl w:val="0"/>
        <w:shd w:val="clear" w:color="auto" w:fill="auto"/>
        <w:spacing w:line="240" w:lineRule="auto"/>
        <w:ind w:left="0" w:leftChars="0" w:firstLine="0" w:firstLineChars="0"/>
        <w:jc w:val="center"/>
        <w:rPr>
          <w:rFonts w:hint="eastAsia" w:ascii="仿宋_GB2312" w:hAnsi="仿宋_GB2312" w:eastAsia="仿宋_GB2312" w:cs="仿宋_GB2312"/>
          <w:b/>
          <w:bCs/>
          <w:color w:val="000000"/>
          <w:kern w:val="0"/>
          <w:sz w:val="21"/>
          <w:szCs w:val="21"/>
          <w:highlight w:val="none"/>
          <w:shd w:val="clear" w:color="auto" w:fill="FFFFFF"/>
          <w:lang w:val="en-US" w:eastAsia="zh-CN" w:bidi="ar-SA"/>
        </w:rPr>
      </w:pPr>
      <w:r>
        <w:rPr>
          <w:rFonts w:hint="eastAsia" w:ascii="仿宋_GB2312" w:hAnsi="仿宋_GB2312" w:eastAsia="仿宋_GB2312" w:cs="仿宋_GB2312"/>
          <w:b/>
          <w:bCs/>
          <w:color w:val="000000"/>
          <w:kern w:val="0"/>
          <w:sz w:val="21"/>
          <w:szCs w:val="21"/>
          <w:highlight w:val="none"/>
          <w:shd w:val="clear" w:color="auto" w:fill="FFFFFF"/>
          <w:lang w:val="en-US" w:eastAsia="zh-CN" w:bidi="ar-SA"/>
        </w:rPr>
        <w:t>（节选）</w:t>
      </w:r>
    </w:p>
    <w:p>
      <w:pPr>
        <w:shd w:val="clear" w:color="auto" w:fill="auto"/>
        <w:ind w:firstLine="420"/>
        <w:rPr>
          <w:rFonts w:ascii="仿宋" w:hAnsi="仿宋" w:eastAsia="仿宋"/>
          <w:szCs w:val="21"/>
          <w:highlight w:val="none"/>
        </w:rPr>
      </w:pPr>
    </w:p>
    <w:p>
      <w:pPr>
        <w:widowControl w:val="0"/>
        <w:shd w:val="clear" w:color="auto" w:fill="auto"/>
        <w:wordWrap/>
        <w:adjustRightInd/>
        <w:snapToGrid/>
        <w:spacing w:line="320" w:lineRule="exact"/>
        <w:ind w:left="0" w:leftChars="0" w:right="0" w:firstLine="0" w:firstLineChars="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各位老师，同学们：</w:t>
      </w:r>
    </w:p>
    <w:p>
      <w:pPr>
        <w:widowControl w:val="0"/>
        <w:shd w:val="clear" w:color="auto" w:fill="auto"/>
        <w:wordWrap/>
        <w:adjustRightInd/>
        <w:snapToGrid/>
        <w:spacing w:line="320" w:lineRule="exact"/>
        <w:ind w:left="0" w:leftChars="0" w:right="0" w:firstLine="0" w:firstLineChars="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　　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pPr>
        <w:widowControl w:val="0"/>
        <w:shd w:val="clear" w:color="auto" w:fill="auto"/>
        <w:wordWrap/>
        <w:adjustRightInd/>
        <w:snapToGrid/>
        <w:spacing w:line="320" w:lineRule="exact"/>
        <w:ind w:left="0" w:leftChars="0" w:right="0" w:firstLine="0" w:firstLineChars="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　　那么，怎样才能成为好老师呢?今天，我想就这个问题同大家做个交流。</w:t>
      </w:r>
    </w:p>
    <w:p>
      <w:pPr>
        <w:widowControl w:val="0"/>
        <w:shd w:val="clear" w:color="auto" w:fill="auto"/>
        <w:wordWrap/>
        <w:adjustRightInd/>
        <w:snapToGrid/>
        <w:spacing w:line="320" w:lineRule="exact"/>
        <w:ind w:left="0" w:leftChars="0" w:right="0" w:firstLine="0" w:firstLineChars="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　　每个人心目中都有自己好老师的形象。做好老师，是每一个老师应该认真思考和探索的问题，也是每一个老师的理想和追求。我想，好老师没有统一的模式，可以各有千秋、各显身手，但有一些共同的、必不可少的特质。</w:t>
      </w:r>
    </w:p>
    <w:p>
      <w:pPr>
        <w:widowControl w:val="0"/>
        <w:shd w:val="clear" w:color="auto" w:fill="auto"/>
        <w:wordWrap/>
        <w:adjustRightInd/>
        <w:snapToGrid/>
        <w:spacing w:line="320" w:lineRule="exact"/>
        <w:ind w:left="0" w:leftChars="0" w:right="0" w:firstLine="0" w:firstLineChars="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　</w:t>
      </w:r>
      <w:r>
        <w:rPr>
          <w:rFonts w:hint="eastAsia" w:ascii="仿宋_GB2312" w:hAnsi="仿宋_GB2312" w:eastAsia="仿宋_GB2312" w:cs="仿宋_GB2312"/>
          <w:b/>
          <w:bCs/>
          <w:color w:val="000000"/>
          <w:kern w:val="0"/>
          <w:sz w:val="21"/>
          <w:szCs w:val="21"/>
          <w:highlight w:val="none"/>
          <w:shd w:val="clear" w:color="auto" w:fill="FFFFFF"/>
          <w:lang w:val="en-US" w:eastAsia="zh-CN" w:bidi="ar-SA"/>
        </w:rPr>
        <w:t>　第一，做好老师，要有理想信念。</w:t>
      </w:r>
      <w:r>
        <w:rPr>
          <w:rFonts w:hint="eastAsia" w:ascii="仿宋_GB2312" w:hAnsi="仿宋_GB2312" w:eastAsia="仿宋_GB2312" w:cs="仿宋_GB2312"/>
          <w:color w:val="000000"/>
          <w:kern w:val="0"/>
          <w:sz w:val="21"/>
          <w:szCs w:val="21"/>
          <w:highlight w:val="none"/>
          <w:shd w:val="clear" w:color="auto" w:fill="FFFFFF"/>
          <w:lang w:val="en-US" w:eastAsia="zh-CN" w:bidi="ar-SA"/>
        </w:rPr>
        <w:t>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pPr>
        <w:widowControl w:val="0"/>
        <w:shd w:val="clear" w:color="auto" w:fill="auto"/>
        <w:wordWrap/>
        <w:adjustRightInd/>
        <w:snapToGrid/>
        <w:spacing w:line="320" w:lineRule="exact"/>
        <w:ind w:left="0" w:leftChars="0" w:right="0" w:firstLine="0" w:firstLineChars="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　　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pPr>
        <w:widowControl w:val="0"/>
        <w:shd w:val="clear" w:color="auto" w:fill="auto"/>
        <w:wordWrap/>
        <w:adjustRightInd/>
        <w:snapToGrid/>
        <w:spacing w:line="320" w:lineRule="exact"/>
        <w:ind w:left="0" w:leftChars="0" w:right="0" w:firstLine="0" w:firstLineChars="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　  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pPr>
        <w:widowControl w:val="0"/>
        <w:shd w:val="clear" w:color="auto" w:fill="auto"/>
        <w:wordWrap/>
        <w:adjustRightInd/>
        <w:snapToGrid/>
        <w:spacing w:line="320" w:lineRule="exact"/>
        <w:ind w:left="0" w:leftChars="0" w:right="0" w:firstLine="0" w:firstLineChars="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 xml:space="preserve">    </w:t>
      </w:r>
      <w:r>
        <w:rPr>
          <w:rFonts w:hint="eastAsia" w:ascii="仿宋_GB2312" w:hAnsi="仿宋_GB2312" w:eastAsia="仿宋_GB2312" w:cs="仿宋_GB2312"/>
          <w:b/>
          <w:bCs/>
          <w:color w:val="000000"/>
          <w:kern w:val="0"/>
          <w:sz w:val="21"/>
          <w:szCs w:val="21"/>
          <w:highlight w:val="none"/>
          <w:shd w:val="clear" w:color="auto" w:fill="FFFFFF"/>
          <w:lang w:val="en-US" w:eastAsia="zh-CN" w:bidi="ar-SA"/>
        </w:rPr>
        <w:t>第二，做好老师，要有道德情操。</w:t>
      </w:r>
      <w:r>
        <w:rPr>
          <w:rFonts w:hint="eastAsia" w:ascii="仿宋_GB2312" w:hAnsi="仿宋_GB2312" w:eastAsia="仿宋_GB2312" w:cs="仿宋_GB2312"/>
          <w:color w:val="000000"/>
          <w:kern w:val="0"/>
          <w:sz w:val="21"/>
          <w:szCs w:val="21"/>
          <w:highlight w:val="none"/>
          <w:shd w:val="clear" w:color="auto" w:fill="FFFFFF"/>
          <w:lang w:val="en-US" w:eastAsia="zh-CN" w:bidi="ar-SA"/>
        </w:rPr>
        <w:t>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pPr>
        <w:widowControl w:val="0"/>
        <w:shd w:val="clear" w:color="auto" w:fill="auto"/>
        <w:wordWrap/>
        <w:adjustRightInd/>
        <w:snapToGrid/>
        <w:spacing w:line="320" w:lineRule="exact"/>
        <w:ind w:left="0" w:leftChars="0" w:right="0" w:firstLine="0" w:firstLineChars="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 xml:space="preserve">    “师者，人之模范也。”教师的职业特性决定了教师必须是道德高尚的人群。合格的老师首先应该是道德上的合格者，好老师首先应该是以德施教、以德立身的楷模。师者为师亦为范，学高为师，德高为范。老师是学生道德修养的镜子。好老师应该取法乎上、见贤思齐，不断提高道德修养，提升人格品质，并把正确的道德观传授给学生。</w:t>
      </w:r>
    </w:p>
    <w:p>
      <w:pPr>
        <w:widowControl w:val="0"/>
        <w:shd w:val="clear" w:color="auto" w:fill="auto"/>
        <w:wordWrap/>
        <w:adjustRightInd/>
        <w:snapToGrid/>
        <w:spacing w:line="320" w:lineRule="exact"/>
        <w:ind w:left="0" w:leftChars="0" w:right="0" w:firstLine="0" w:firstLineChars="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 xml:space="preserve">    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pPr>
        <w:widowControl w:val="0"/>
        <w:shd w:val="clear" w:color="auto" w:fill="auto"/>
        <w:wordWrap/>
        <w:adjustRightInd/>
        <w:snapToGrid/>
        <w:spacing w:line="320" w:lineRule="exact"/>
        <w:ind w:left="0" w:leftChars="0" w:right="0" w:firstLine="0" w:firstLineChars="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 xml:space="preserve">    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b/>
          <w:bCs/>
          <w:color w:val="000000"/>
          <w:kern w:val="0"/>
          <w:sz w:val="21"/>
          <w:szCs w:val="21"/>
          <w:highlight w:val="none"/>
          <w:shd w:val="clear" w:color="auto" w:fill="FFFFFF"/>
          <w:lang w:val="en-US" w:eastAsia="zh-CN" w:bidi="ar-SA"/>
        </w:rPr>
        <w:t>第三，做好老师，要有扎实学识。</w:t>
      </w:r>
      <w:r>
        <w:rPr>
          <w:rFonts w:hint="eastAsia" w:ascii="仿宋_GB2312" w:hAnsi="仿宋_GB2312" w:eastAsia="仿宋_GB2312" w:cs="仿宋_GB2312"/>
          <w:color w:val="000000"/>
          <w:kern w:val="0"/>
          <w:sz w:val="21"/>
          <w:szCs w:val="21"/>
          <w:highlight w:val="none"/>
          <w:shd w:val="clear" w:color="auto" w:fill="FFFFFF"/>
          <w:lang w:val="en-US" w:eastAsia="zh-CN" w:bidi="ar-SA"/>
        </w:rPr>
        <w:t>老师自古就被称为“智者”。俗话说，前人强不如后人强，家庭如此，国家、民族更是如此。只有我们的孩子们学好知识了、学好本领了、懂得更多了，他们才能更强，我们的国家、民族才能更强。</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国外有教育家说过：“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b/>
          <w:bCs/>
          <w:color w:val="000000"/>
          <w:kern w:val="0"/>
          <w:sz w:val="21"/>
          <w:szCs w:val="21"/>
          <w:highlight w:val="none"/>
          <w:shd w:val="clear" w:color="auto" w:fill="FFFFFF"/>
          <w:lang w:val="en-US" w:eastAsia="zh-CN" w:bidi="ar-SA"/>
        </w:rPr>
        <w:t>第四，做好老师，要有仁爱之心。</w:t>
      </w:r>
      <w:r>
        <w:rPr>
          <w:rFonts w:hint="eastAsia" w:ascii="仿宋_GB2312" w:hAnsi="仿宋_GB2312" w:eastAsia="仿宋_GB2312" w:cs="仿宋_GB2312"/>
          <w:color w:val="000000"/>
          <w:kern w:val="0"/>
          <w:sz w:val="21"/>
          <w:szCs w:val="21"/>
          <w:highlight w:val="none"/>
          <w:shd w:val="clear" w:color="auto" w:fill="FFFFFF"/>
          <w:lang w:val="en-US" w:eastAsia="zh-CN" w:bidi="ar-SA"/>
        </w:rPr>
        <w:t>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生美丽的心灵之花。老师的爱，既包括爱岗位、爱学生，也包括爱一切美好的事物。</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有人说，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懂得既尊重学生，使学生充满自信、昂首挺胸，又通过尊重学生的言传身教教育学生尊重他人。</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好老师不是天生的，而是在教学管理实践中、在教育改革发展中锻炼成长起来的。衷心祝愿每个教师都能成为符合党和人民要求、学生喜欢和敬佩的好老师，希望每个孩子都能遇到好老师。</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各位老师、同学们!</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我国人口多、国土广、地区差异大，有2.6亿学生和1400万教师，搞好教育事业任务艰巨。党和政府高度重视教育，2012年以来我国财政性教育经费支出占当年国内生产总值比例达到4%，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战略位置，继续大力推动教育改革发展，使我国教育越办越好、越办越强。</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百年大计，教育为本。教育大计，教师为本。努力培养造就一大批一流教师，不断提高教师队伍整体素质，是当前和今后一段时间我国教育事业发展的紧迫任务。</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这些年，媒体报道了个别老师道德败坏、贪赃枉法的事，对这些害群之马要清除出教师队伍，并依法进行惩处，对侵害学生的行为必须零容忍。</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各位老师、同学们!</w:t>
      </w:r>
    </w:p>
    <w:p>
      <w:pPr>
        <w:widowControl w:val="0"/>
        <w:shd w:val="clear" w:color="auto" w:fill="auto"/>
        <w:wordWrap/>
        <w:adjustRightInd/>
        <w:snapToGrid/>
        <w:spacing w:line="320" w:lineRule="exact"/>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r>
        <w:rPr>
          <w:rFonts w:hint="eastAsia" w:ascii="仿宋_GB2312" w:hAnsi="仿宋_GB2312" w:eastAsia="仿宋_GB2312" w:cs="仿宋_GB2312"/>
          <w:color w:val="000000"/>
          <w:kern w:val="0"/>
          <w:sz w:val="21"/>
          <w:szCs w:val="21"/>
          <w:highlight w:val="none"/>
          <w:shd w:val="clear" w:color="auto" w:fill="FFFFFF"/>
          <w:lang w:val="en-US" w:eastAsia="zh-CN" w:bidi="ar-SA"/>
        </w:rPr>
        <w:t>“三寸粉笔，三尺讲台系国运;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p>
      <w:pPr>
        <w:widowControl w:val="0"/>
        <w:shd w:val="clear" w:color="auto" w:fill="auto"/>
        <w:wordWrap/>
        <w:adjustRightInd/>
        <w:snapToGrid/>
        <w:spacing w:line="240" w:lineRule="auto"/>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p>
    <w:p>
      <w:pPr>
        <w:widowControl w:val="0"/>
        <w:shd w:val="clear" w:color="auto" w:fill="auto"/>
        <w:wordWrap/>
        <w:adjustRightInd/>
        <w:snapToGrid/>
        <w:spacing w:line="240" w:lineRule="auto"/>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p>
    <w:p>
      <w:pPr>
        <w:widowControl w:val="0"/>
        <w:shd w:val="clear" w:color="auto" w:fill="auto"/>
        <w:wordWrap/>
        <w:adjustRightInd/>
        <w:snapToGrid/>
        <w:spacing w:line="240" w:lineRule="auto"/>
        <w:ind w:left="0" w:leftChars="0" w:right="0" w:firstLine="420" w:firstLineChars="200"/>
        <w:jc w:val="both"/>
        <w:textAlignment w:val="auto"/>
        <w:outlineLvl w:val="9"/>
        <w:rPr>
          <w:rFonts w:hint="eastAsia" w:ascii="仿宋_GB2312" w:hAnsi="仿宋_GB2312" w:eastAsia="仿宋_GB2312" w:cs="仿宋_GB2312"/>
          <w:color w:val="000000"/>
          <w:kern w:val="0"/>
          <w:sz w:val="21"/>
          <w:szCs w:val="21"/>
          <w:highlight w:val="none"/>
          <w:shd w:val="clear" w:color="auto" w:fill="FFFFFF"/>
          <w:lang w:val="en-US" w:eastAsia="zh-CN" w:bidi="ar-SA"/>
        </w:rPr>
      </w:pPr>
    </w:p>
    <w:p>
      <w:pPr>
        <w:shd w:val="clear" w:color="auto" w:fill="auto"/>
        <w:tabs>
          <w:tab w:val="left" w:pos="675"/>
        </w:tabs>
        <w:ind w:firstLine="0" w:firstLineChars="0"/>
        <w:rPr>
          <w:rFonts w:ascii="黑体" w:hAnsi="黑体" w:eastAsia="黑体"/>
          <w:sz w:val="28"/>
          <w:szCs w:val="28"/>
          <w:highlight w:val="none"/>
        </w:rPr>
      </w:pPr>
      <w:r>
        <w:rPr>
          <w:rFonts w:ascii="隶书" w:hAnsi="隶书" w:eastAsia="隶书" w:cs="Times New Roman"/>
          <w:kern w:val="0"/>
          <w:sz w:val="21"/>
          <w:szCs w:val="21"/>
          <w:highlight w:val="none"/>
          <w:lang w:val="en-US" w:eastAsia="zh-CN" w:bidi="ar-SA"/>
        </w:rPr>
        <w:pict>
          <v:shape id="横卷形 7" o:spid="_x0000_s1038" type="#_x0000_t98" style="position:absolute;left:0;margin-left:-4.05pt;margin-top:-8.85pt;height:46.8pt;width:96.1pt;rotation:0f;z-index:251661312;" o:ole="f" fillcolor="#C0C0C0"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spacing w:line="480" w:lineRule="exact"/>
                    <w:ind w:firstLine="0" w:firstLineChars="0"/>
                    <w:rPr>
                      <w:rFonts w:ascii="华文新魏" w:hAnsi="华文新魏" w:eastAsia="华文新魏"/>
                      <w:b/>
                      <w:sz w:val="36"/>
                      <w:szCs w:val="28"/>
                    </w:rPr>
                  </w:pPr>
                  <w:r>
                    <w:rPr>
                      <w:rFonts w:hint="eastAsia" w:ascii="华文新魏" w:hAnsi="华文新魏" w:eastAsia="华文新魏"/>
                      <w:b/>
                      <w:sz w:val="36"/>
                      <w:szCs w:val="28"/>
                    </w:rPr>
                    <w:t>他山之石</w:t>
                  </w:r>
                </w:p>
              </w:txbxContent>
            </v:textbox>
          </v:shape>
        </w:pict>
      </w:r>
    </w:p>
    <w:p>
      <w:pPr>
        <w:widowControl w:val="0"/>
        <w:shd w:val="clear" w:color="auto" w:fill="auto"/>
        <w:ind w:left="0" w:leftChars="0" w:firstLine="0" w:firstLineChars="0"/>
        <w:rPr>
          <w:rFonts w:ascii="黑体" w:hAnsi="宋体" w:eastAsia="黑体"/>
          <w:color w:val="375DA4"/>
          <w:sz w:val="30"/>
          <w:szCs w:val="30"/>
          <w:highlight w:val="none"/>
          <w:shd w:val="clear" w:color="auto" w:fill="FFFFFF"/>
        </w:rPr>
      </w:pPr>
    </w:p>
    <w:p>
      <w:pPr>
        <w:widowControl w:val="0"/>
        <w:shd w:val="clear" w:color="auto" w:fill="auto"/>
        <w:ind w:left="0" w:leftChars="0" w:firstLine="0" w:firstLineChars="0"/>
        <w:rPr>
          <w:rFonts w:ascii="黑体" w:hAnsi="宋体" w:eastAsia="黑体"/>
          <w:color w:val="375DA4"/>
          <w:sz w:val="30"/>
          <w:szCs w:val="30"/>
          <w:highlight w:val="none"/>
          <w:shd w:val="clear" w:color="auto" w:fill="FFFFFF"/>
        </w:rPr>
      </w:pPr>
    </w:p>
    <w:p>
      <w:pPr>
        <w:widowControl w:val="0"/>
        <w:shd w:val="clear" w:color="auto" w:fill="auto"/>
        <w:spacing w:line="240" w:lineRule="auto"/>
        <w:ind w:firstLine="720"/>
        <w:rPr>
          <w:rFonts w:ascii="仿宋_GB2312" w:hAnsi="仿宋_GB2312" w:eastAsia="仿宋_GB2312" w:cs="仿宋_GB2312"/>
          <w:highlight w:val="none"/>
        </w:rPr>
      </w:pPr>
      <w:r>
        <w:rPr>
          <w:rFonts w:hint="eastAsia" w:ascii="黑体" w:hAnsi="黑体" w:eastAsia="黑体"/>
          <w:color w:val="000000"/>
          <w:sz w:val="36"/>
          <w:szCs w:val="36"/>
          <w:highlight w:val="none"/>
        </w:rPr>
        <w:t>天津市大学软件学院：探索产学深度融合培养模式</w:t>
      </w:r>
    </w:p>
    <w:p>
      <w:pPr>
        <w:pStyle w:val="9"/>
        <w:shd w:val="clear" w:color="auto" w:fill="auto"/>
        <w:spacing w:before="0" w:beforeAutospacing="0" w:after="0" w:afterAutospacing="0" w:line="320" w:lineRule="exact"/>
        <w:jc w:val="center"/>
        <w:rPr>
          <w:rStyle w:val="11"/>
          <w:rFonts w:ascii="仿宋_GB2312" w:hAnsi="仿宋_GB2312" w:eastAsia="仿宋_GB2312" w:cs="仿宋_GB2312"/>
          <w:sz w:val="21"/>
          <w:szCs w:val="21"/>
          <w:highlight w:val="none"/>
          <w:shd w:val="clear" w:color="auto" w:fill="FFFFFF"/>
        </w:rPr>
      </w:pPr>
      <w:r>
        <w:rPr>
          <w:rStyle w:val="11"/>
          <w:rFonts w:hint="eastAsia" w:ascii="仿宋_GB2312" w:hAnsi="仿宋_GB2312" w:eastAsia="仿宋_GB2312" w:cs="仿宋_GB2312"/>
          <w:sz w:val="21"/>
          <w:szCs w:val="21"/>
          <w:highlight w:val="none"/>
          <w:shd w:val="clear" w:color="auto" w:fill="FFFFFF"/>
        </w:rPr>
        <w:t xml:space="preserve">    </w:t>
      </w:r>
      <w:r>
        <w:rPr>
          <w:rStyle w:val="11"/>
          <w:rFonts w:ascii="仿宋_GB2312" w:hAnsi="仿宋_GB2312" w:eastAsia="仿宋_GB2312" w:cs="仿宋_GB2312"/>
          <w:sz w:val="21"/>
          <w:szCs w:val="21"/>
          <w:highlight w:val="none"/>
          <w:shd w:val="clear" w:color="auto" w:fill="FFFFFF"/>
        </w:rPr>
        <w:t>学合作 协同育人</w:t>
      </w:r>
    </w:p>
    <w:p>
      <w:pPr>
        <w:pStyle w:val="9"/>
        <w:shd w:val="clear" w:color="auto" w:fill="auto"/>
        <w:spacing w:before="0" w:beforeAutospacing="0" w:after="0" w:afterAutospacing="0" w:line="320" w:lineRule="exact"/>
        <w:jc w:val="center"/>
        <w:rPr>
          <w:rFonts w:hint="eastAsia" w:ascii="仿宋_GB2312" w:hAnsi="仿宋_GB2312" w:eastAsia="仿宋_GB2312" w:cs="仿宋_GB2312"/>
          <w:color w:val="000000"/>
          <w:sz w:val="21"/>
          <w:szCs w:val="21"/>
          <w:highlight w:val="none"/>
          <w:shd w:val="clear" w:color="auto" w:fill="FFFFFF"/>
        </w:rPr>
      </w:pPr>
      <w:r>
        <w:rPr>
          <w:rStyle w:val="11"/>
          <w:rFonts w:ascii="仿宋_GB2312" w:hAnsi="仿宋_GB2312" w:eastAsia="仿宋_GB2312" w:cs="仿宋_GB2312"/>
          <w:sz w:val="21"/>
          <w:szCs w:val="21"/>
          <w:highlight w:val="none"/>
          <w:shd w:val="clear" w:color="auto" w:fill="FFFFFF"/>
        </w:rPr>
        <w:t>——天津市大学软件学院探索产学深度融合的软件人才新型培养模式</w:t>
      </w:r>
    </w:p>
    <w:p>
      <w:pPr>
        <w:pStyle w:val="9"/>
        <w:widowControl/>
        <w:shd w:val="clear" w:color="auto" w:fill="auto"/>
        <w:wordWrap/>
        <w:adjustRightInd/>
        <w:snapToGrid/>
        <w:spacing w:before="0" w:beforeAutospacing="0" w:after="0" w:afterAutospacing="0" w:line="300" w:lineRule="atLeast"/>
        <w:ind w:left="0" w:leftChars="0" w:right="0" w:firstLine="420" w:firstLineChars="200"/>
        <w:jc w:val="left"/>
        <w:textAlignment w:val="auto"/>
        <w:outlineLvl w:val="9"/>
        <w:rPr>
          <w:rFonts w:hint="eastAsia" w:ascii="仿宋_GB2312" w:hAnsi="仿宋_GB2312" w:eastAsia="仿宋_GB2312" w:cs="仿宋_GB2312"/>
          <w:color w:val="000000"/>
          <w:sz w:val="21"/>
          <w:szCs w:val="21"/>
          <w:highlight w:val="none"/>
          <w:shd w:val="clear" w:color="auto" w:fill="FFFFFF"/>
        </w:rPr>
      </w:pPr>
    </w:p>
    <w:p>
      <w:pPr>
        <w:pStyle w:val="9"/>
        <w:widowControl/>
        <w:shd w:val="clear" w:color="auto" w:fill="auto"/>
        <w:wordWrap/>
        <w:adjustRightInd/>
        <w:snapToGrid/>
        <w:spacing w:before="0" w:beforeAutospacing="0" w:after="0" w:afterAutospacing="0" w:line="320" w:lineRule="atLeast"/>
        <w:ind w:left="0" w:leftChars="0" w:right="0" w:firstLine="420" w:firstLineChars="200"/>
        <w:jc w:val="left"/>
        <w:textAlignment w:val="auto"/>
        <w:outlineLvl w:val="9"/>
        <w:rPr>
          <w:rFonts w:hint="eastAsia" w:ascii="仿宋_GB2312" w:hAnsi="仿宋_GB2312" w:eastAsia="仿宋_GB2312" w:cs="仿宋_GB2312"/>
          <w:color w:val="000000"/>
          <w:sz w:val="21"/>
          <w:szCs w:val="21"/>
          <w:highlight w:val="none"/>
          <w:shd w:val="clear" w:color="auto" w:fill="FFFFFF"/>
        </w:rPr>
      </w:pPr>
      <w:r>
        <w:rPr>
          <w:rFonts w:hint="eastAsia" w:ascii="仿宋_GB2312" w:hAnsi="仿宋_GB2312" w:eastAsia="仿宋_GB2312" w:cs="仿宋_GB2312"/>
          <w:color w:val="000000"/>
          <w:sz w:val="21"/>
          <w:szCs w:val="21"/>
          <w:highlight w:val="none"/>
          <w:shd w:val="clear" w:color="auto" w:fill="FFFFFF"/>
        </w:rPr>
        <w:t>作为采用新模式、新体制运行的软件人才培养基地，天津市大学软件学院通过创新性地构筑一个“平台”，依托两个“联盟”，形成三个“体系”，实现四大“功能”，建立了产学深度融合的软件人才新型培养模式，走出了一条促进产业链、学科链、人才链协调发展和有效对接的校企合作新路子。</w:t>
      </w:r>
    </w:p>
    <w:p>
      <w:pPr>
        <w:pStyle w:val="9"/>
        <w:widowControl/>
        <w:shd w:val="clear" w:color="auto" w:fill="auto"/>
        <w:wordWrap/>
        <w:adjustRightInd/>
        <w:snapToGrid/>
        <w:spacing w:before="0" w:beforeAutospacing="0" w:after="0" w:afterAutospacing="0" w:line="320" w:lineRule="atLeast"/>
        <w:ind w:left="0" w:leftChars="0" w:right="0" w:firstLine="420" w:firstLineChars="200"/>
        <w:jc w:val="center"/>
        <w:textAlignment w:val="auto"/>
        <w:outlineLvl w:val="9"/>
        <w:rPr>
          <w:rFonts w:ascii="仿宋_GB2312" w:hAnsi="仿宋_GB2312" w:eastAsia="仿宋_GB2312" w:cs="仿宋_GB2312"/>
          <w:color w:val="000000"/>
          <w:sz w:val="21"/>
          <w:szCs w:val="21"/>
          <w:highlight w:val="none"/>
        </w:rPr>
      </w:pPr>
      <w:r>
        <w:rPr>
          <w:rStyle w:val="11"/>
          <w:rFonts w:hint="eastAsia" w:ascii="仿宋_GB2312" w:hAnsi="仿宋_GB2312" w:eastAsia="仿宋_GB2312" w:cs="仿宋_GB2312"/>
          <w:color w:val="000000"/>
          <w:sz w:val="21"/>
          <w:szCs w:val="21"/>
          <w:highlight w:val="none"/>
          <w:shd w:val="clear" w:color="auto" w:fill="FFFFFF"/>
        </w:rPr>
        <w:t>一个平台：政府主导、产学共建的软件人才培养公共平台</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天津市大学软件学院自2008年创建以来，努力进行产学协同育人的软件人才培养平台的建设与管理，构筑了“政府主导、产学共建的软件人才培养公共平台，形成了创新高效的平台运行机制”。其中，在天津市政府主导下，先后投入基础建设资金7.6亿元，建成了16万平方米的开放式的共享软件人才培养基地，建立了软件及信息技术服务等五大专业领域的学生实践教学基地及产学协同创新中心。同时，学院利用云计算技术将各高校与企业的专业课程、实训项目、教学课件等教育资源整合到教育云平台之上，构建了同时满足1000点并发的实践教学云平台，积聚了体现产业发展的前沿专业技术课程、系统套件（实训项目）各百余门（个），搭建了3800个真实企业环境的云终端实训教学工位，可以保证800个学生能够参与到企业研发的创新工位，并建立了院士、技术专家牵头的企业和院校合作的协同创新研究中心12个。</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正是有了这样一个培养平台的依托，学院逐步建立和完善了“政府资助、企业化运作、政校企共建、产学研结合、多元化投入、市场化运作管理”的创新型运行机制，促进了学科链、技术链、人才链和产业链的高效对接与共同发展。</w:t>
      </w:r>
    </w:p>
    <w:p>
      <w:pPr>
        <w:pStyle w:val="9"/>
        <w:widowControl/>
        <w:shd w:val="clear" w:color="auto" w:fill="auto"/>
        <w:wordWrap/>
        <w:adjustRightInd/>
        <w:snapToGrid/>
        <w:spacing w:before="0" w:beforeAutospacing="0" w:after="0" w:afterAutospacing="0" w:line="320" w:lineRule="atLeast"/>
        <w:ind w:left="0" w:leftChars="0" w:right="0"/>
        <w:jc w:val="center"/>
        <w:textAlignment w:val="auto"/>
        <w:outlineLvl w:val="9"/>
        <w:rPr>
          <w:rFonts w:ascii="仿宋_GB2312" w:hAnsi="仿宋_GB2312" w:eastAsia="仿宋_GB2312" w:cs="仿宋_GB2312"/>
          <w:color w:val="000000"/>
          <w:sz w:val="21"/>
          <w:szCs w:val="21"/>
          <w:highlight w:val="none"/>
        </w:rPr>
      </w:pPr>
      <w:r>
        <w:rPr>
          <w:rStyle w:val="11"/>
          <w:rFonts w:hint="eastAsia" w:ascii="仿宋_GB2312" w:hAnsi="仿宋_GB2312" w:eastAsia="仿宋_GB2312" w:cs="仿宋_GB2312"/>
          <w:color w:val="000000"/>
          <w:sz w:val="21"/>
          <w:szCs w:val="21"/>
          <w:highlight w:val="none"/>
          <w:shd w:val="clear" w:color="auto" w:fill="FFFFFF"/>
        </w:rPr>
        <w:t>两个联盟：产学深度融合的“高校联盟”与“企业联盟”</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当前，已有12所高校与</w:t>
      </w:r>
      <w:r>
        <w:rPr>
          <w:rFonts w:hint="eastAsia" w:ascii="仿宋_GB2312" w:hAnsi="仿宋_GB2312" w:eastAsia="仿宋_GB2312" w:cs="仿宋_GB2312"/>
          <w:color w:val="000000"/>
          <w:sz w:val="21"/>
          <w:szCs w:val="21"/>
          <w:highlight w:val="none"/>
          <w:shd w:val="clear" w:color="auto" w:fill="FFFFFF"/>
          <w:lang w:val="en-US" w:eastAsia="zh-CN"/>
        </w:rPr>
        <w:t>I</w:t>
      </w:r>
      <w:r>
        <w:rPr>
          <w:rFonts w:hint="eastAsia" w:ascii="仿宋_GB2312" w:hAnsi="仿宋_GB2312" w:eastAsia="仿宋_GB2312" w:cs="仿宋_GB2312"/>
          <w:color w:val="000000"/>
          <w:sz w:val="21"/>
          <w:szCs w:val="21"/>
          <w:highlight w:val="none"/>
          <w:shd w:val="clear" w:color="auto" w:fill="FFFFFF"/>
        </w:rPr>
        <w:t>BM、软通动力集团、上海智翔等20余家国内外知名企业入驻学院，在此平台上构建了学院独具特色的“高校联盟”和“企业联盟”的“双联盟”式的产学合作模式。这两种联盟的结合，可以按照产业需求设置专业方向、产学共同制定人才培养方案、学生自主选择专业方向、“双师型”高校教师和企业工程师共同实施教学。这些措施解决了高校实践教学资源分散封闭和工程实践师资严重不足的矛盾，做到了优势资源集约共享；企业优秀一线工程师可以兼职成为学院重要师资力量，解决了学生实践教学中校企合作衔接不畅、学生培养与产业需求贴合不够紧密的矛盾，突破了传统校企合作的“点对点”模式。</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在“双联盟”协同育人具体实施操作上，学院与多个学校和多个企业进行合作，并与重点骨干企业合作成立工程技术研究中心，建立了多个不同技术领域的专项实验室。联盟企业与学院每年签订基于实训任务、就业服务、日常管理等多项指标在内的目标考核责任书，在学生自主选择的前提下，确定实践教学合作企业，签订实施合同。学院同时对联盟内的实践教学过程和就业质量进行考核，采用“奖优汰劣”的方式，吸引更多的高校与更优秀的企业加入联盟。学院还成立了教学指导委员会，建立了联合办公机构、实施管理人员和师资双聘管理等，推动“双联盟”的深度协同。</w:t>
      </w:r>
    </w:p>
    <w:p>
      <w:pPr>
        <w:pStyle w:val="9"/>
        <w:widowControl/>
        <w:shd w:val="clear" w:color="auto" w:fill="auto"/>
        <w:wordWrap/>
        <w:adjustRightInd/>
        <w:snapToGrid/>
        <w:spacing w:before="0" w:beforeAutospacing="0" w:after="0" w:afterAutospacing="0" w:line="320" w:lineRule="atLeast"/>
        <w:ind w:left="0" w:leftChars="0" w:right="0"/>
        <w:jc w:val="center"/>
        <w:textAlignment w:val="auto"/>
        <w:outlineLvl w:val="9"/>
        <w:rPr>
          <w:rFonts w:ascii="仿宋_GB2312" w:hAnsi="仿宋_GB2312" w:eastAsia="仿宋_GB2312" w:cs="仿宋_GB2312"/>
          <w:color w:val="000000"/>
          <w:sz w:val="21"/>
          <w:szCs w:val="21"/>
          <w:highlight w:val="none"/>
        </w:rPr>
      </w:pPr>
      <w:r>
        <w:rPr>
          <w:rStyle w:val="11"/>
          <w:rFonts w:hint="eastAsia" w:ascii="仿宋_GB2312" w:hAnsi="仿宋_GB2312" w:eastAsia="仿宋_GB2312" w:cs="仿宋_GB2312"/>
          <w:color w:val="000000"/>
          <w:sz w:val="21"/>
          <w:szCs w:val="21"/>
          <w:highlight w:val="none"/>
          <w:shd w:val="clear" w:color="auto" w:fill="FFFFFF"/>
        </w:rPr>
        <w:t>三个体系：产学合作、协同育人、相辅相成的人才培养模式</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多层次多方位的实践教学与协同创新体系</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学院作为天津市9所高校“卓越软件工程师培养”牵头单位，努力构建多层次多方位的实践教学与协同创新体系。在规划建设中构建了特色鲜明的3个层次的实践教学平台，一是针对课程的实验样本及技术案例基础实训实验室，二是针对真实（或模拟）项目的开发和调试的实践教学实验室，三是针对专项技术领域与产业项目研发相结合的协同开发实验室，以及新技术体验中心等，包括实训平台、课程置换平台、学生创新创业平台、就业服务平台等，建成了软件及外包、动漫及数字媒体、物联网应用技术等多个实训功能区域。</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多高校和多企业互动融合的产学协同育人体系</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学院以新成果、新课程和新项目为主要内容开展教学，吸引国际知名企业入驻，共同搭建协同创新的公共教学平台和实践平台。学院还特别重视学生工程实践能力的培养，将最新的技术资源融入教学实践中，实践教学比例接近60%；学生通过实践项目的参与和创新，实现了就业与企业需求的有效对接。学院采用全新的学生管理模式，以“提升学生学习能力”为主线，搭建真实企业管理架构，体验企业工作环境，熟悉企业运作流程。以高强度、互动式学习为主，引入“导师制”，借助“项目驱动式”管理，实施“工资式”考核方式，突出培养学生的专业能力、管理能力、团队协作能力和职业人精神。</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适应新型产学协同育人平台的运行管理体系</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为了适应产业引领下新型产学协同育人平台运行的需要，学院各级管理人员一半以上来自滨海高新区或大中型现代企业，同时，学院设立了天津滨海高新区管委会、市软件行业协会等常驻办公室。学院与各学（协）会相互联系、定期研讨，实现开放式管理，建立了在平台下对高校、企业、学生进行激励、约束与保障的运行机制，既推进了高校教学改革，又降低了企业职前培训成本，保障了协同育人的良性发展。学院还成立了校企合作联合办公室、联合教研室、学生管理联合办公室等管理协调机构。</w:t>
      </w:r>
    </w:p>
    <w:p>
      <w:pPr>
        <w:pStyle w:val="9"/>
        <w:widowControl/>
        <w:shd w:val="clear" w:color="auto" w:fill="auto"/>
        <w:wordWrap/>
        <w:adjustRightInd/>
        <w:snapToGrid/>
        <w:spacing w:before="0" w:beforeAutospacing="0" w:after="0" w:afterAutospacing="0" w:line="320" w:lineRule="atLeast"/>
        <w:ind w:left="0" w:leftChars="0" w:right="0"/>
        <w:jc w:val="center"/>
        <w:textAlignment w:val="auto"/>
        <w:outlineLvl w:val="9"/>
        <w:rPr>
          <w:rFonts w:ascii="仿宋_GB2312" w:hAnsi="仿宋_GB2312" w:eastAsia="仿宋_GB2312" w:cs="仿宋_GB2312"/>
          <w:color w:val="000000"/>
          <w:sz w:val="21"/>
          <w:szCs w:val="21"/>
          <w:highlight w:val="none"/>
        </w:rPr>
      </w:pPr>
      <w:r>
        <w:rPr>
          <w:rStyle w:val="11"/>
          <w:rFonts w:hint="eastAsia" w:ascii="仿宋_GB2312" w:hAnsi="仿宋_GB2312" w:eastAsia="仿宋_GB2312" w:cs="仿宋_GB2312"/>
          <w:color w:val="000000"/>
          <w:sz w:val="21"/>
          <w:szCs w:val="21"/>
          <w:highlight w:val="none"/>
          <w:shd w:val="clear" w:color="auto" w:fill="FFFFFF"/>
        </w:rPr>
        <w:t>四大功能：资源共享、实习实训、创新创业、就业服务</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集约式开放共建平台的资源共享</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在平台建设方面，学院坚持教育资源来源的开放性，积极吸纳源于不同高校、机构和企业的各类优质教育资源。一是整合各高校相关专业；二是整合国内外各类技术应用开发企业的优秀技术课程、优秀项目案例资源，形成国内外基础软件技术服务提供商侧重专业课程置换项目、国内知名技术应用企业侧重专业实践教学项目；三是积极吸纳国内外相关行业机构的各类行业标准体系资源等。在技术上，学院坚持跨平台兼容性，以支撑平台资源的开放性，为资源共享创造条件。。</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突出教育实践的实习实训</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实训项目是以一线企业提供的项目为基本来源，包括仿真项目和真实项目两方面，学院与入驻机构定期公布实训项目目录，学生根据专业方向进行选项报名，通过统一组织考试录入，确定其参与的项目。同时，合作企业在校外有配套的实训实习岗位和场所，接纳毕业生到企业进行顶岗实习，并确保企业在学生顶岗实习过程中的实习教学功能定位和企业工程师指导教师数量及水准，确保就业实习效果及毕业论文设计的顺利完成。另外，在校内，学院依托政校企共建了仿真企业环境的工程实践教育中心与网络在线平台等。</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创新创业的行业性专业人才培养</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在强调专业基础知识的同时，学院加强项目组织和管理能力、国际标准认知能力、软件产品技能、软件开发实践、知识产权等方面能力的培养。在参与具体的软件开发的过程中，学院强化在校生专业知识的掌握和项目系统分析与设计、软件开发、技术支持和系统维护等能力，并使学生熟悉现代软件生产流程，培养知识与技能相结合、技术与管理相结合、能力与素质相结合的复合型、实用型、国际化的软件专业人才。学院以校企合作为基础构建在校生协同开发创新体系，针对不同的专项技术领域引进一批产业前沿项目，通过合作研发或委托研发等不同形式，采取招标方式组织学生开发团队。通过多元化、个性化实践教学培养和参与协同开发创新，实现大学毕业生到软件工程师身份的转变，进而带动大学生创业、就业。</w:t>
      </w:r>
    </w:p>
    <w:p>
      <w:pPr>
        <w:pStyle w:val="9"/>
        <w:widowControl/>
        <w:shd w:val="clear" w:color="auto" w:fill="auto"/>
        <w:wordWrap/>
        <w:adjustRightInd/>
        <w:snapToGrid/>
        <w:spacing w:before="0" w:beforeAutospacing="0" w:after="0" w:afterAutospacing="0" w:line="320" w:lineRule="atLeast"/>
        <w:ind w:left="0" w:leftChars="0" w:right="0"/>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就业引领的新型产学协同育人服务环境</w:t>
      </w:r>
    </w:p>
    <w:p>
      <w:pPr>
        <w:pStyle w:val="9"/>
        <w:widowControl/>
        <w:shd w:val="clear" w:color="auto" w:fill="auto"/>
        <w:wordWrap/>
        <w:adjustRightInd/>
        <w:snapToGrid/>
        <w:spacing w:before="0" w:beforeAutospacing="0" w:after="0" w:afterAutospacing="0" w:line="320" w:lineRule="atLeast"/>
        <w:ind w:left="0" w:leftChars="0" w:right="0" w:firstLine="420" w:firstLineChars="200"/>
        <w:textAlignment w:val="auto"/>
        <w:outlineLvl w:val="9"/>
        <w:rPr>
          <w:rFonts w:ascii="Verdana" w:hAnsi="Verdana" w:cs="Verdana"/>
          <w:color w:val="000000"/>
          <w:sz w:val="21"/>
          <w:szCs w:val="21"/>
          <w:highlight w:val="none"/>
          <w:shd w:val="clear" w:color="auto" w:fill="FFFFFF"/>
        </w:rPr>
      </w:pPr>
      <w:r>
        <w:rPr>
          <w:rFonts w:hint="eastAsia" w:ascii="仿宋_GB2312" w:hAnsi="仿宋_GB2312" w:eastAsia="仿宋_GB2312" w:cs="仿宋_GB2312"/>
          <w:color w:val="000000"/>
          <w:sz w:val="21"/>
          <w:szCs w:val="21"/>
          <w:highlight w:val="none"/>
          <w:shd w:val="clear" w:color="auto" w:fill="FFFFFF"/>
        </w:rPr>
        <w:t>为了做好就业服务工作，学院积极建立和完善现场专业招聘会与在线专业人才对接相结合的就业对接合作机制，形成了就业引领的产学协同育人服务环境。一方面，通过天津滨海高新区软件园管理中心实时搜集企业技术方向、用人数量、专业类型等企业用人信息，每年定期举办春、秋季两次专场校园现场招聘会。同时，学院建立了统一开放的人力资源服务平台，实现发布企业介绍、职位需求等信息、提供简历生成管理等功能，提供实时的就业情况查询等信息，并提供网签三方就业协议管理等功能，形成了实时性、交互性的高校毕业生就业绿色通道，为各用人单位和毕业生搭建了交流对接平台。另外，学院还建立了统一、开放的在校学生专业人才数据库，提供就业咨询指导服务，快速响应企业的人才需求。</w:t>
      </w:r>
      <w:r>
        <w:rPr>
          <w:rFonts w:ascii="Verdana" w:hAnsi="Verdana" w:cs="Verdana"/>
          <w:color w:val="000000"/>
          <w:sz w:val="21"/>
          <w:szCs w:val="21"/>
          <w:highlight w:val="none"/>
          <w:shd w:val="clear" w:color="auto" w:fill="FFFFFF"/>
        </w:rPr>
        <w:t> </w:t>
      </w:r>
    </w:p>
    <w:p>
      <w:pPr>
        <w:pStyle w:val="9"/>
        <w:shd w:val="clear" w:color="auto" w:fill="auto"/>
        <w:spacing w:before="0" w:beforeAutospacing="0" w:after="0" w:afterAutospacing="0" w:line="300" w:lineRule="atLeast"/>
        <w:rPr>
          <w:rFonts w:ascii="Verdana" w:hAnsi="Verdana" w:cs="Verdana"/>
          <w:color w:val="000000"/>
          <w:sz w:val="21"/>
          <w:szCs w:val="21"/>
          <w:highlight w:val="none"/>
          <w:shd w:val="clear" w:color="auto" w:fill="FFFFFF"/>
        </w:rPr>
      </w:pPr>
    </w:p>
    <w:p>
      <w:pPr>
        <w:pStyle w:val="9"/>
        <w:shd w:val="clear" w:color="auto" w:fill="auto"/>
        <w:spacing w:before="0" w:beforeAutospacing="0" w:after="0" w:afterAutospacing="0" w:line="300" w:lineRule="atLeast"/>
        <w:rPr>
          <w:rFonts w:ascii="Verdana" w:hAnsi="Verdana" w:cs="Verdana"/>
          <w:color w:val="000000"/>
          <w:sz w:val="21"/>
          <w:szCs w:val="21"/>
          <w:highlight w:val="none"/>
          <w:shd w:val="clear" w:color="auto" w:fill="FFFFFF"/>
        </w:rPr>
      </w:pPr>
    </w:p>
    <w:p>
      <w:pPr>
        <w:widowControl/>
        <w:shd w:val="clear" w:color="auto" w:fill="auto"/>
        <w:wordWrap/>
        <w:adjustRightInd/>
        <w:snapToGrid/>
        <w:spacing w:line="240" w:lineRule="auto"/>
        <w:ind w:left="0" w:leftChars="0" w:right="0" w:firstLine="0" w:firstLineChars="0"/>
        <w:jc w:val="center"/>
        <w:textAlignment w:val="auto"/>
        <w:outlineLvl w:val="9"/>
        <w:rPr>
          <w:rFonts w:ascii="黑体" w:hAnsi="黑体" w:eastAsia="黑体"/>
          <w:sz w:val="36"/>
          <w:szCs w:val="36"/>
          <w:highlight w:val="none"/>
        </w:rPr>
      </w:pPr>
      <w:r>
        <w:rPr>
          <w:rFonts w:hint="eastAsia" w:ascii="黑体" w:hAnsi="黑体" w:eastAsia="黑体"/>
          <w:sz w:val="36"/>
          <w:szCs w:val="36"/>
          <w:highlight w:val="none"/>
        </w:rPr>
        <w:t>湖北文理学院：坚定走“应用型”大学办学之路</w:t>
      </w:r>
    </w:p>
    <w:p>
      <w:pPr>
        <w:pStyle w:val="9"/>
        <w:widowControl/>
        <w:shd w:val="clear" w:color="auto" w:fill="auto"/>
        <w:wordWrap/>
        <w:adjustRightInd/>
        <w:snapToGrid/>
        <w:spacing w:beforeAutospacing="0" w:afterAutospacing="0" w:line="240" w:lineRule="auto"/>
        <w:ind w:left="0" w:leftChars="0" w:right="0" w:firstLine="0" w:firstLineChars="0"/>
        <w:jc w:val="center"/>
        <w:textAlignment w:val="auto"/>
        <w:outlineLvl w:val="9"/>
        <w:rPr>
          <w:rFonts w:ascii="仿宋_GB2312" w:hAnsi="仿宋_GB2312" w:eastAsia="仿宋_GB2312" w:cs="仿宋_GB2312"/>
          <w:kern w:val="2"/>
          <w:sz w:val="21"/>
          <w:szCs w:val="22"/>
          <w:highlight w:val="none"/>
        </w:rPr>
      </w:pPr>
      <w:r>
        <w:rPr>
          <w:rStyle w:val="11"/>
          <w:rFonts w:hint="eastAsia" w:ascii="仿宋_GB2312" w:hAnsi="仿宋_GB2312" w:eastAsia="仿宋_GB2312" w:cs="仿宋_GB2312"/>
          <w:sz w:val="21"/>
          <w:szCs w:val="21"/>
          <w:highlight w:val="none"/>
          <w:shd w:val="clear" w:color="auto" w:fill="FFFFFF"/>
        </w:rPr>
        <w:t>身在隆中 智谋天下——湖北文理学院探索地方高校特色办学之路纪</w:t>
      </w:r>
    </w:p>
    <w:p>
      <w:pPr>
        <w:pStyle w:val="9"/>
        <w:widowControl/>
        <w:shd w:val="clear" w:color="auto" w:fill="auto"/>
        <w:wordWrap/>
        <w:adjustRightInd/>
        <w:snapToGrid/>
        <w:spacing w:beforeAutospacing="0" w:afterAutospacing="0" w:line="320" w:lineRule="exact"/>
        <w:ind w:left="0" w:leftChars="0" w:right="0" w:firstLine="420" w:firstLineChars="200"/>
        <w:jc w:val="left"/>
        <w:textAlignment w:val="auto"/>
        <w:outlineLvl w:val="9"/>
        <w:rPr>
          <w:rFonts w:ascii="仿宋_GB2312" w:hAnsi="仿宋_GB2312" w:eastAsia="仿宋_GB2312" w:cs="仿宋_GB2312"/>
          <w:kern w:val="2"/>
          <w:sz w:val="21"/>
          <w:szCs w:val="22"/>
          <w:highlight w:val="none"/>
        </w:rPr>
      </w:pPr>
    </w:p>
    <w:p>
      <w:pPr>
        <w:pStyle w:val="9"/>
        <w:widowControl/>
        <w:shd w:val="clear" w:color="auto" w:fill="auto"/>
        <w:wordWrap/>
        <w:adjustRightInd/>
        <w:snapToGrid/>
        <w:spacing w:before="0" w:beforeAutospacing="0" w:after="0" w:afterAutospacing="0" w:line="320" w:lineRule="exact"/>
        <w:ind w:left="0" w:leftChars="0" w:right="0" w:firstLine="420" w:firstLineChars="20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8月24日，中央电视台《新闻联播》点名湖北文理学院90后“格桑花”支教团在“中央部署、对口支援和社会力量”三大援藏合力中作为社会团体的加入，《地方高校应用型本科人才联合培养的“211”模式研究》获得湖北省人民政府第七届教学成果奖一等奖</w:t>
      </w:r>
      <w:r>
        <w:rPr>
          <w:rFonts w:hint="eastAsia" w:ascii="仿宋_GB2312" w:hAnsi="仿宋_GB2312" w:eastAsia="仿宋_GB2312" w:cs="仿宋_GB2312"/>
          <w:kern w:val="2"/>
          <w:sz w:val="21"/>
          <w:szCs w:val="22"/>
          <w:highlight w:val="none"/>
          <w:lang w:eastAsia="zh-CN"/>
        </w:rPr>
        <w:t>。</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湖北文理学院蛰伏隆中，秉承诸葛孔明智慧，积极探索高等教育大众化背景下地方高校的特色发展之路，坚定不移地走“应用型”大学的办学之路，走为地方经济社会发展服务的办学之路，走开放办学之路。</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b/>
          <w:bCs/>
          <w:kern w:val="2"/>
          <w:sz w:val="21"/>
          <w:szCs w:val="22"/>
          <w:highlight w:val="none"/>
        </w:rPr>
      </w:pPr>
      <w:r>
        <w:rPr>
          <w:rFonts w:ascii="仿宋_GB2312" w:hAnsi="仿宋_GB2312" w:eastAsia="仿宋_GB2312" w:cs="仿宋_GB2312"/>
          <w:kern w:val="2"/>
          <w:sz w:val="21"/>
          <w:szCs w:val="22"/>
          <w:highlight w:val="none"/>
        </w:rPr>
        <w:t>　　</w:t>
      </w:r>
      <w:r>
        <w:rPr>
          <w:rFonts w:ascii="仿宋_GB2312" w:hAnsi="仿宋_GB2312" w:eastAsia="仿宋_GB2312" w:cs="仿宋_GB2312"/>
          <w:b/>
          <w:bCs/>
          <w:kern w:val="2"/>
          <w:sz w:val="21"/>
          <w:szCs w:val="22"/>
          <w:highlight w:val="none"/>
        </w:rPr>
        <w:t>改革人才培养模式，对接地方人才需求</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为了落实学校服务地方发展战略，对接区域经济社会发展对应用型人才不断扩大的需求，自2008年起，湖北文理学院系统地进行应用型人才培养模式改革，用两年的时间进行集中通识教育课程、学科基础课程的学习，夯实人才基础；用一年的时间进行专业核心课程的学习，提升专业理论素养；用一年的时间进行实践性专业方向课程的学习和实践，强化专业应用能力，简称“211”模式。该模式尤其重视学生实践动手能力培养，将实践教学平台化，建立了各种基础实践教学中心、专业实践教学中心、综合实践教学中心，和分布于各二级学院的公共基础实践中心、基本素质实践中心、专业基础实践中心、专业工程训练中心、校内校外实习基地等。</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在物电学院技术教育基地，我们见到了文学院的张宏同学，他说：“我们将来的就业会涉及很多电子知识，现在学校建立的这类综合性实习实训基地我们都可以自由进入，对我学习相关知识很有帮助。”</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学校自2008年与湖北本地高新企业万洲电气合作开办万洲班以来，以“万洲模式”为代表的订单培养模式陆续铺开。本着能力主线、应用为本、学以致用的原则，以积极务实的态度重点探讨体制机制上的校企合作、培养过程上的校企合作。企业需要的课程，学校特别开设，很多课程由企业派人负责授课。校校协同、校地协同、校企协同等三个基本模式全面展开。学校成立校企合作培养人才理事会，寻求地方政府部门、行业协会、骨干企业的支持，提高学校服务地方、行业、企业的声誉度和贡献率，形成校地校企合作培养人才的良性互动局面，应用型人才培养成效显著。</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该校毕业生徐晓莹，大四创办动漫公司，多部作品荣登央视首播，成为湖北省首部登陆央视的原创动画系列片。老师和同学们说是扎实的理论知识、过硬的专业水平，以及敢挑战、不放弃的精神成就了她，而徐小莹却笑道：“是湖北文理学院实施的‘211’人才培养模式圆了我的动漫梦。”</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w:t>
      </w:r>
      <w:r>
        <w:rPr>
          <w:rFonts w:ascii="仿宋_GB2312" w:hAnsi="仿宋_GB2312" w:eastAsia="仿宋_GB2312" w:cs="仿宋_GB2312"/>
          <w:b/>
          <w:bCs/>
          <w:kern w:val="2"/>
          <w:sz w:val="21"/>
          <w:szCs w:val="22"/>
          <w:highlight w:val="none"/>
        </w:rPr>
        <w:t>进企业、进乡村、进社区，对接基层科技文化需要</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进企业、进社区、进乡村”的“三进”活动是该校力推的又一重大举措。自去年暑假以来，该校对该活动进行了深入动员和规范化引导。今年以来的“三进”活动已经只做个别典型推广，为这一重大部署探索常态化工作机制。220多个团队小组、2000多名师生历时一个多月，“带着理论进社会，深入社会解难题”，“带着项目到一线，深入一线找课题”，寻找学校服务地方的主渠道、主战场。他们不仅受到了基层群众的欢迎，更在帮助基层群众解决实际问题过程中找到了教学改革的动力和科技攻关的方向。</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建筑工程学院院长郭声波教授带领几位教授、博士来到襄阳市襄城区卧龙镇大堰村，深入研究新农村规划等亟待解决的问题。</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马王庙街是襄阳市襄城区昭明办事处的一条老街巷，原来破旧不堪。“三进”活动中该校美术学院一个团队把当地的历史故事、民俗传统进行加工，描绘在街道两侧，引来市民啧啧称赞。</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物电学院李文联教授长期深入基层，在致力于推广太阳能应用研究的基础上，2013年他申报的科研项目《太阳能光伏猪舍的研发及示范》获得科技部国家星火计划项目立项。正是得益于该校长期坚持的服务基层、服务地方的办学理念，一个小课题到国家级科研项目的华丽转身就这样不经意地完成。</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学校还按照校际联合、校企联合、优势互补、共建双赢的思路，与企业厂矿、科研院所等建立校外实习实训基地。如，学校与东风旅行车有限公司合作开发的校车项目获得湖北省2012年科技进步奖三等奖和2011年襄阳市科技进步一等奖。</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w:t>
      </w:r>
      <w:r>
        <w:rPr>
          <w:rFonts w:ascii="仿宋_GB2312" w:hAnsi="仿宋_GB2312" w:eastAsia="仿宋_GB2312" w:cs="仿宋_GB2312"/>
          <w:b/>
          <w:bCs/>
          <w:kern w:val="2"/>
          <w:sz w:val="21"/>
          <w:szCs w:val="22"/>
          <w:highlight w:val="none"/>
        </w:rPr>
        <w:t>学科专业建设，对接产业经济发展方向</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2011年，湖北省第十次党代会在构建中部崛起战略支点的目标统领下，将襄阳市定位为湖北省域副中心城市和汉江流域中心城市，全力建设“都市襄阳、产业襄阳、文化襄阳和绿色襄阳”。</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“优秀的城市需要优秀的大学。城市的发展与繁荣越来越依赖大学的支撑，大学的发展也必须立足于服务地方，为自身发展注入不竭的动力。”该校党委书记马小洁说。</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围绕产业办好专业，办好专业服务产业”。受到诸葛亮《隆中对》指点江山谋划天下大势的历史文化滋养，湖北文理学院身在隆中，却有放眼天下的志向，谋划国家战略中的襄阳经济社会发展大局，参与一个时代的经济社会腾飞。</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紧密结合襄阳‘一个龙头六大支柱’产业发展需求，进一步凝练学科方向，调整优化学科结构布局，加大资源整合力度，促进学科要素向重点学科和优秀团队聚集。”学校第一次党代会报告如是写道。“重点发展对地方经济社会发展有重大影响的学科，大力发展与地方产业联系紧密的学科，超常规发展地方有重大需求的学科。”</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汽车制造业是襄阳龙头产业，对国民生产总值的贡献率超过40%。根据这一产业结构，国家汽车零部件检测重点实验室（襄阳）、国家动力电池产品质量监督检验中心（襄阳）等多个“国”字牌实验室在湖北文理学院挂牌。</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提到学科建设，该校校长李儒寿充满信心，他说：“学校每年用于学科科研平台建设不少于5000万元，这一决定已经写入学校党代会报告之中。对于一所地方性高等院校，这样的投入力度，体现了我们以学科建设为核心的内涵发展思想。”</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紧密结合襄阳市产业结构规划蓝图，学校重点构建了机电工程与新能源汽车、材料科学与化学工程、基层治理与区域经济、中外文学与襄阳文化四个学科群，形成了学校以工科为主，多学科协调发展的学科专业建设格局。</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结合襄阳地域经济文化特点，学校为“文化襄阳”建设领军举旗。开展了“三国历史文化研究”、“汉水流域文学艺术研究”、“荆山音乐文化研究”等系列课题研究。这些工作为文化襄阳建设发挥着积极作用，也有力地促进了学校学科专业建设的硬实力提高。</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ascii="仿宋_GB2312" w:hAnsi="仿宋_GB2312" w:eastAsia="仿宋_GB2312" w:cs="仿宋_GB2312"/>
          <w:kern w:val="2"/>
          <w:sz w:val="21"/>
          <w:szCs w:val="22"/>
          <w:highlight w:val="none"/>
        </w:rPr>
        <w:t>　　湖北文理学院身在隆中，传承诸葛精神，智谋天下，特色兴学，在服务地方经济社会发展的道路上寻找正确的方向，正谱写新时代的地方高校发展变革的“隆中对”。</w:t>
      </w:r>
    </w:p>
    <w:p>
      <w:pPr>
        <w:pStyle w:val="9"/>
        <w:shd w:val="clear" w:color="auto" w:fill="auto"/>
        <w:spacing w:before="0" w:beforeAutospacing="0" w:after="0" w:afterAutospacing="0" w:line="320" w:lineRule="exact"/>
        <w:rPr>
          <w:rFonts w:hint="eastAsia" w:ascii="仿宋_GB2312" w:hAnsi="仿宋_GB2312" w:eastAsia="仿宋_GB2312" w:cs="仿宋_GB2312"/>
          <w:color w:val="000000"/>
          <w:highlight w:val="none"/>
        </w:rPr>
      </w:pPr>
      <w:bookmarkStart w:id="0" w:name="_GoBack"/>
      <w:bookmarkEnd w:id="0"/>
    </w:p>
    <w:p>
      <w:pPr>
        <w:pStyle w:val="9"/>
        <w:shd w:val="clear" w:color="auto" w:fill="auto"/>
        <w:spacing w:before="0" w:beforeAutospacing="0" w:after="0" w:afterAutospacing="0" w:line="320" w:lineRule="exact"/>
        <w:rPr>
          <w:rFonts w:hint="eastAsia" w:ascii="仿宋_GB2312" w:hAnsi="仿宋_GB2312" w:eastAsia="仿宋_GB2312" w:cs="仿宋_GB2312"/>
          <w:color w:val="000000"/>
          <w:highlight w:val="none"/>
        </w:rPr>
      </w:pPr>
    </w:p>
    <w:p>
      <w:pPr>
        <w:pStyle w:val="9"/>
        <w:widowControl/>
        <w:shd w:val="clear" w:color="auto" w:fill="auto"/>
        <w:wordWrap/>
        <w:adjustRightInd/>
        <w:snapToGrid/>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kern w:val="2"/>
          <w:sz w:val="36"/>
          <w:szCs w:val="36"/>
          <w:highlight w:val="none"/>
          <w:lang w:val="en-US" w:eastAsia="zh-CN" w:bidi="ar-SA"/>
        </w:rPr>
      </w:pPr>
      <w:r>
        <w:rPr>
          <w:rFonts w:hint="eastAsia" w:ascii="黑体" w:hAnsi="黑体" w:eastAsia="黑体" w:cs="黑体"/>
          <w:kern w:val="2"/>
          <w:sz w:val="36"/>
          <w:szCs w:val="36"/>
          <w:highlight w:val="none"/>
          <w:lang w:val="en-US" w:eastAsia="zh-CN" w:bidi="ar-SA"/>
        </w:rPr>
        <w:t>青岛科技大学：如何变优势学科为创业利器</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w:t>
      </w:r>
      <w:r>
        <w:rPr>
          <w:rFonts w:hint="eastAsia" w:ascii="仿宋_GB2312" w:hAnsi="仿宋_GB2312" w:eastAsia="仿宋_GB2312" w:cs="仿宋_GB2312"/>
          <w:kern w:val="2"/>
          <w:sz w:val="21"/>
          <w:szCs w:val="22"/>
          <w:highlight w:val="none"/>
        </w:rPr>
        <w:t>青岛科技大学地沟油快速检测技术，29号出价280万元，有没有加价的？”随着拍卖师的询问，多名竞标者轮番出价，最终29号竞标者以360万元成功拿下这项专利技术。这是不久前，发生在青岛技术交易拍卖会上的一个场景。作为这项技术的研发带头人，青岛科技大学副教授石超表示：“‘地沟油快速检测技术’市场需求广泛，拍出这个价，值！”</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以前是教授们埋头教理论，学生们埋头学理论，科研成果与现实需求根本不匹配，近几年来，学校实行学科创业计划，鼓励师生结合科研项目、学科特长进行生产力转化。”青岛科技大学校长马连湘说，经过不断实践探索，在青岛科技大学，学科创业已经蔚然成风，以学科创业带动学生就业，成为该校一道独特的风景线。</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w:t>
      </w:r>
      <w:r>
        <w:rPr>
          <w:rFonts w:hint="eastAsia" w:ascii="仿宋_GB2312" w:hAnsi="仿宋_GB2312" w:eastAsia="仿宋_GB2312" w:cs="仿宋_GB2312"/>
          <w:b/>
          <w:bCs/>
          <w:kern w:val="2"/>
          <w:sz w:val="21"/>
          <w:szCs w:val="22"/>
          <w:highlight w:val="none"/>
        </w:rPr>
        <w:t>　以学科创业带动学生就业</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“张中正，22岁，毕业于青科大信息学院，毕业前就已经是三家公司的总经理，拥有员工80多人，资产近4000万元。”</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“胡鹏、田玉华，来自青科大两个不同学院，在学校大学生创业孵化基地内相互结合对方公司的技术优势，成功研发出‘工业3D动画互动演示系统’，产品代表海尔集团参加德国柏林国际消费电子展。”</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聊起青科大学生的创业故事，青岛科技大学副校长张淑华可以说是信手拈来：“学校鼓励师生进行学科创业，但这种鼓励并不是盲目的，而是充分利用学校的专业技术和学科优势，这是我们学科创业成功的法宝。”</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学科创业需要学科的支撑，经过60多年的建设和发展，青岛科技大学作为以橡胶工程学科为特色的高校，拥有橡塑材料与工程重点实验室等4个国家级重点实验室，初步形成了材料科学与工程、化学工程与技术、化学、动力工程与工程热物理、机械工程五大特色优势学科群，为学科创业奠定了坚实的基础，据悉，该校绝大多数学科创业都是源于这五大特色优势学科群。</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w:t>
      </w:r>
      <w:r>
        <w:rPr>
          <w:rFonts w:hint="eastAsia" w:ascii="仿宋_GB2312" w:hAnsi="仿宋_GB2312" w:eastAsia="仿宋_GB2312" w:cs="仿宋_GB2312"/>
          <w:b/>
          <w:bCs/>
          <w:kern w:val="2"/>
          <w:sz w:val="21"/>
          <w:szCs w:val="22"/>
          <w:highlight w:val="none"/>
        </w:rPr>
        <w:t>　让创业成为校园文化</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我的创业之路是从学校团委举办的‘挑战杯’创业大赛开始的，现在我的公司已经与德国、美国和意大利等国外著名公司合作，年营业额突破了500万元。”毕业于青科大中德学院机械专业的05级学生葛茂旭说，他凭借与学院老师共同研发的自动化污水处理系统这一核心技术，与同学创办了青岛清科环保新材料有限公司，先后承接了韩国LG电子中水回用工程和青岛胶州湾跨海大桥收费区污水处理工程等重要项目。</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在学科创业教育中，我们培养的重点是创业意识和营造创业氛围，让创业成为一种文化。”青岛科技大学团委书记王锋业说，学校不仅设有创业讲坛、创业联盟和名为“在路上”的大学生创业网；每年还举办大学生创业季、创业计划大赛等活动，吸引万余名学生参与，截至目前，学校已累计完成创业项目200余个。</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地沟油快速检测技术的成功拍卖，也得益于学校浓厚的创业文化，学校鼓励师生大胆创新，学以致用、研以致用。”石超说，学校老师在自主开展技术转让和项目合作的同时，也会积极推荐学生到合作企业实习，让学生参与科研项目，将技术转让、校企合作与学生就业创业结合起来；而学生通过实践锻炼，提高了创业技能，积累了创业经验，形成了老师带领学生创业的可喜局面。</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b/>
          <w:bCs/>
          <w:kern w:val="2"/>
          <w:sz w:val="21"/>
          <w:szCs w:val="22"/>
          <w:highlight w:val="none"/>
        </w:rPr>
      </w:pPr>
      <w:r>
        <w:rPr>
          <w:rFonts w:hint="eastAsia" w:ascii="仿宋_GB2312" w:hAnsi="仿宋_GB2312" w:eastAsia="仿宋_GB2312" w:cs="仿宋_GB2312"/>
          <w:kern w:val="2"/>
          <w:sz w:val="21"/>
          <w:szCs w:val="22"/>
          <w:highlight w:val="none"/>
        </w:rPr>
        <w:t>　　</w:t>
      </w:r>
      <w:r>
        <w:rPr>
          <w:rFonts w:hint="eastAsia" w:ascii="仿宋_GB2312" w:hAnsi="仿宋_GB2312" w:eastAsia="仿宋_GB2312" w:cs="仿宋_GB2312"/>
          <w:b/>
          <w:bCs/>
          <w:kern w:val="2"/>
          <w:sz w:val="21"/>
          <w:szCs w:val="22"/>
          <w:highlight w:val="none"/>
        </w:rPr>
        <w:t>学生创业是一个系统工程</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学生创业不仅是学生个人的事，也是一个系统工程。”这是马连湘常挂嘴边的话。经过多年的摸索与总结，青岛科技大学构建了“以科大模式为依托，培育校园创业文化；以主题活动为载体，培养学生创业意识；以课堂教学为主渠道，提升学生创业能力；以基地平台为支撑，推进学生创业孵化；以政策服务为保障，推动学生创新创业”“五位一体”的创业工作模式。</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我们有创业指导专家团，包括18位教授和61位国家职业指导师，与其他高校不同的是，青科大的校外专家团既有风险投资公司的总经理，也有相关部门的政府官员，校内外创业导师比例达到了1∶1。”青科大学生处处长郑德前说。</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据了解，青科大早在2003年就成立了“创业工作指导委员会”和“大学生创业中心”，各学院也相应成立了“学院创业工作办公室”，校院两级创业工作领导小组为大学生创业工作的有效开展提供了组织保障。学校还先后出台了《关于推进大学生创业的实施意见》《关于加强和改进大学生科技创新活动的实施意见》，设立了324万元的“大学生创业专项基金”，用于扶持重点创业项目。</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2013年，青科大“橡胶谷大学生创业孵化基地”落成，同时还配套成立了创业服务中心，引入工商税务、法律咨询、资产评估、专利申请、技术合同认定和交易等服务机构，提高创业企业抵御风险能力。另外，创业团队的学生在学籍延长、学分积累、办公场地等很多方面都享受优惠或减免政策。</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w:t>
      </w:r>
      <w:r>
        <w:rPr>
          <w:rFonts w:hint="eastAsia" w:ascii="仿宋_GB2312" w:hAnsi="仿宋_GB2312" w:eastAsia="仿宋_GB2312" w:cs="仿宋_GB2312"/>
          <w:b/>
          <w:bCs/>
          <w:kern w:val="2"/>
          <w:sz w:val="21"/>
          <w:szCs w:val="22"/>
          <w:highlight w:val="none"/>
        </w:rPr>
        <w:t>特色化发展结出累累硕果</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经过多年的学科创业培育，青科大涌现出了一大批创业典型，目前学校已成功孵化企业85家，其中成功孵化并推向社会的企业53家，正处于孵化期内的企业32家。</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hint="eastAsia"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我们学校有个叫张威的毕业生，他凭借自己的学科优势，创办了青岛同科橡塑科技有限公司，为行业提供技术咨询服务和解决方案，目前的年营业额已达2000万元。”张淑华说，张威获得过全国大学生创业大赛银奖、山东省优秀大学生创业者等多项荣誉，已经成为青科大学生自主创业的榜样。</w:t>
      </w:r>
    </w:p>
    <w:p>
      <w:pPr>
        <w:pStyle w:val="9"/>
        <w:widowControl/>
        <w:shd w:val="clear" w:color="auto" w:fill="auto"/>
        <w:wordWrap/>
        <w:adjustRightInd/>
        <w:snapToGrid/>
        <w:spacing w:before="0" w:beforeAutospacing="0" w:after="0" w:afterAutospacing="0" w:line="320" w:lineRule="exact"/>
        <w:ind w:left="0" w:leftChars="0" w:right="0"/>
        <w:jc w:val="left"/>
        <w:textAlignment w:val="auto"/>
        <w:outlineLvl w:val="9"/>
        <w:rPr>
          <w:rFonts w:ascii="仿宋_GB2312" w:hAnsi="仿宋_GB2312" w:eastAsia="仿宋_GB2312" w:cs="仿宋_GB2312"/>
          <w:kern w:val="2"/>
          <w:sz w:val="21"/>
          <w:szCs w:val="22"/>
          <w:highlight w:val="none"/>
        </w:rPr>
      </w:pPr>
      <w:r>
        <w:rPr>
          <w:rFonts w:hint="eastAsia" w:ascii="仿宋_GB2312" w:hAnsi="仿宋_GB2312" w:eastAsia="仿宋_GB2312" w:cs="仿宋_GB2312"/>
          <w:kern w:val="2"/>
          <w:sz w:val="21"/>
          <w:szCs w:val="22"/>
          <w:highlight w:val="none"/>
        </w:rPr>
        <w:t>　　通过学科创业带动学生就业，青科大走出了一条独具特色的发展之路，毕业生签约率连续八年位列山东省属本科高校前茅；2014年，作为山东省唯一一所入选的高校，青科大获评“全国高校毕业生就业工作50强”。</w:t>
      </w:r>
    </w:p>
    <w:p>
      <w:pPr>
        <w:pStyle w:val="9"/>
        <w:shd w:val="clear" w:color="auto" w:fill="auto"/>
        <w:spacing w:before="0" w:beforeAutospacing="0" w:after="0" w:afterAutospacing="0" w:line="320" w:lineRule="exact"/>
        <w:rPr>
          <w:rFonts w:ascii="仿宋_GB2312" w:hAnsi="仿宋_GB2312" w:eastAsia="仿宋_GB2312" w:cs="仿宋_GB2312"/>
          <w:color w:val="000000"/>
          <w:highlight w:val="none"/>
        </w:rPr>
      </w:pPr>
    </w:p>
    <w:p>
      <w:pPr>
        <w:pStyle w:val="9"/>
        <w:shd w:val="clear" w:color="auto" w:fill="auto"/>
        <w:spacing w:before="0" w:beforeAutospacing="0" w:after="0" w:afterAutospacing="0" w:line="320" w:lineRule="exact"/>
        <w:rPr>
          <w:rFonts w:ascii="仿宋_GB2312" w:hAnsi="仿宋_GB2312" w:eastAsia="仿宋_GB2312" w:cs="仿宋_GB2312"/>
          <w:color w:val="000000"/>
          <w:highlight w:val="none"/>
        </w:rPr>
      </w:pPr>
    </w:p>
    <w:p>
      <w:pPr>
        <w:shd w:val="clear" w:color="auto" w:fill="auto"/>
        <w:tabs>
          <w:tab w:val="left" w:pos="675"/>
        </w:tabs>
        <w:ind w:firstLine="0" w:firstLineChars="0"/>
        <w:rPr>
          <w:rFonts w:ascii="黑体" w:hAnsi="黑体" w:eastAsia="黑体"/>
          <w:sz w:val="28"/>
          <w:szCs w:val="28"/>
          <w:highlight w:val="none"/>
        </w:rPr>
      </w:pPr>
      <w:r>
        <w:rPr>
          <w:rFonts w:ascii="隶书" w:hAnsi="隶书" w:eastAsia="隶书" w:cs="Times New Roman"/>
          <w:kern w:val="0"/>
          <w:sz w:val="21"/>
          <w:szCs w:val="21"/>
          <w:highlight w:val="none"/>
          <w:lang w:val="en-US" w:eastAsia="zh-CN" w:bidi="ar-SA"/>
        </w:rPr>
        <w:pict>
          <v:shape id="横卷形 1" o:spid="_x0000_s1039" type="#_x0000_t98" style="position:absolute;left:0;margin-left:-4.75pt;margin-top:-3.4pt;height:46.8pt;width:96.1pt;rotation:0f;z-index:251663360;" o:ole="f" fillcolor="#C0C0C0"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spacing w:line="480" w:lineRule="exact"/>
                    <w:ind w:firstLine="0" w:firstLineChars="0"/>
                    <w:rPr>
                      <w:rFonts w:ascii="华文新魏" w:hAnsi="华文新魏" w:eastAsia="华文新魏"/>
                      <w:b/>
                      <w:sz w:val="36"/>
                      <w:szCs w:val="28"/>
                    </w:rPr>
                  </w:pPr>
                  <w:r>
                    <w:rPr>
                      <w:rFonts w:hint="eastAsia" w:ascii="华文新魏" w:hAnsi="华文新魏" w:eastAsia="华文新魏"/>
                      <w:b/>
                      <w:sz w:val="36"/>
                      <w:szCs w:val="28"/>
                    </w:rPr>
                    <w:t>政策解读</w:t>
                  </w:r>
                </w:p>
              </w:txbxContent>
            </v:textbox>
          </v:shape>
        </w:pict>
      </w:r>
    </w:p>
    <w:p>
      <w:pPr>
        <w:shd w:val="clear" w:color="auto" w:fill="auto"/>
        <w:ind w:firstLine="560"/>
        <w:jc w:val="center"/>
        <w:rPr>
          <w:rFonts w:ascii="黑体" w:hAnsi="黑体" w:eastAsia="黑体"/>
          <w:sz w:val="28"/>
          <w:szCs w:val="28"/>
          <w:highlight w:val="none"/>
        </w:rPr>
      </w:pPr>
    </w:p>
    <w:p>
      <w:pPr>
        <w:shd w:val="clear" w:color="auto" w:fill="auto"/>
        <w:ind w:firstLine="560"/>
        <w:jc w:val="center"/>
        <w:rPr>
          <w:rFonts w:ascii="黑体" w:hAnsi="黑体" w:eastAsia="黑体"/>
          <w:sz w:val="28"/>
          <w:szCs w:val="28"/>
          <w:highlight w:val="none"/>
        </w:rPr>
      </w:pPr>
    </w:p>
    <w:p>
      <w:pPr>
        <w:shd w:val="clear" w:color="auto" w:fill="auto"/>
        <w:spacing w:line="240" w:lineRule="auto"/>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《关于建立健全高校师德建设长效机制的意见》答</w:t>
      </w:r>
      <w:r>
        <w:rPr>
          <w:rFonts w:hint="eastAsia" w:ascii="黑体" w:hAnsi="黑体" w:eastAsia="黑体"/>
          <w:sz w:val="36"/>
          <w:szCs w:val="36"/>
          <w:highlight w:val="none"/>
          <w:lang w:eastAsia="zh-CN"/>
        </w:rPr>
        <w:t>记者</w:t>
      </w:r>
      <w:r>
        <w:rPr>
          <w:rFonts w:hint="eastAsia" w:ascii="黑体" w:hAnsi="黑体" w:eastAsia="黑体"/>
          <w:sz w:val="36"/>
          <w:szCs w:val="36"/>
          <w:highlight w:val="none"/>
        </w:rPr>
        <w:t>问</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Verdana" w:hAnsi="Verdana" w:cs="Verdana"/>
          <w:color w:val="000000"/>
          <w:sz w:val="21"/>
          <w:szCs w:val="21"/>
          <w:highlight w:val="none"/>
          <w:shd w:val="clear" w:color="auto" w:fill="FFFFFF"/>
        </w:rPr>
      </w:pPr>
      <w:r>
        <w:rPr>
          <w:rFonts w:ascii="Verdana" w:hAnsi="Verdana" w:cs="Verdana"/>
          <w:color w:val="000000"/>
          <w:sz w:val="21"/>
          <w:szCs w:val="21"/>
          <w:highlight w:val="none"/>
          <w:shd w:val="clear" w:color="auto" w:fill="FFFFFF"/>
        </w:rPr>
        <w:t>　　</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Verdana" w:hAnsi="Verdana" w:eastAsia="仿宋_GB2312" w:cs="Verdana"/>
          <w:color w:val="000000"/>
          <w:sz w:val="21"/>
          <w:szCs w:val="21"/>
          <w:highlight w:val="none"/>
          <w:shd w:val="clear" w:color="auto" w:fill="FFFFFF"/>
          <w:lang w:val="en-US" w:eastAsia="zh-CN"/>
        </w:rPr>
        <w:t xml:space="preserve">    </w:t>
      </w:r>
      <w:r>
        <w:rPr>
          <w:rFonts w:hint="eastAsia" w:ascii="仿宋_GB2312" w:hAnsi="仿宋_GB2312" w:eastAsia="仿宋_GB2312" w:cs="仿宋_GB2312"/>
          <w:color w:val="000000"/>
          <w:sz w:val="21"/>
          <w:szCs w:val="21"/>
          <w:highlight w:val="none"/>
          <w:shd w:val="clear" w:color="auto" w:fill="FFFFFF"/>
        </w:rPr>
        <w:t>为贯彻落实习近平总书记教师节重要讲话精神，大力加强和改进师德建设，努力培养造就一支师德高尚、业务精湛、结构合理、充满活力的高素质专业化高校教师队伍，教育部印发了《关于建立健全高校师德建设长效机制的意见》(以下简称《意见》)。日前，教育部教师工作司负责人就研究制定该文件的有关情况回答了记者的提问。</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1.问</w:t>
      </w:r>
      <w:r>
        <w:rPr>
          <w:rFonts w:hint="eastAsia" w:ascii="仿宋_GB2312" w:hAnsi="仿宋_GB2312" w:eastAsia="仿宋_GB2312" w:cs="仿宋_GB2312"/>
          <w:color w:val="000000"/>
          <w:sz w:val="21"/>
          <w:szCs w:val="21"/>
          <w:highlight w:val="none"/>
          <w:shd w:val="clear" w:color="auto" w:fill="FFFFFF"/>
        </w:rPr>
        <w:t>：社会各界对高校师德建设工作十分关注，请介绍一下文件出台的背景。</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答</w:t>
      </w:r>
      <w:r>
        <w:rPr>
          <w:rFonts w:hint="eastAsia" w:ascii="仿宋_GB2312" w:hAnsi="仿宋_GB2312" w:eastAsia="仿宋_GB2312" w:cs="仿宋_GB2312"/>
          <w:color w:val="000000"/>
          <w:sz w:val="21"/>
          <w:szCs w:val="21"/>
          <w:highlight w:val="none"/>
          <w:shd w:val="clear" w:color="auto" w:fill="FFFFFF"/>
        </w:rPr>
        <w:t>：教师节前夕，习近平总书记同北京师范大学师生代表座谈时指出，“一个人遇到好老师是人生的幸运，一个学校拥有好老师是学校的光荣，一个民族源源不断涌现出一批有一批好老师则是民族的希望。”“‘师者，人之模范也。’合格的老师首先应该是道德上的合格者，好老师首先应该是以德施教、以德立身的楷模。”“好老师要有‘捧着一颗心来，不带半根草去’的奉献精神，自觉坚守精神家园、坚守人格底线，带头弘扬社会主义道德和中华传统美德，以自己的模范行为影响和带动学生。”习总书记的重要讲话从战略高度阐明了教师队伍在教育事业乃至整个国家和民族发展中的关键地位和战略意义，是当前和今后一个时期教师队伍建设特别是师德建设工作的纲领和指南。</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教育工作的根本任务是立德树人。育有德之人，靠有德之师。长期以来，广大高校教师忠诚党的教育事业，呕心沥血、默默奉献，潜心治学、教书育人，敢于担当、锐意创新，为高等教育改革发展做出了巨大贡献，赢得了全社会广泛赞誉和普遍尊重。但受当前社会变革转型时期负面影响，少数高校教师理想信念模糊，育人意识淡薄，教学敷衍，学风浮躁，甚至学术不端，言行失范、道德败坏等，特别是近期极少数高校教师失德行为的出现，损害了高校教师的社会形象和职业声誉。为进一步推进师德建设工作，引导广大高校教师做有理想信念、有道德情操、有扎实学识、有仁爱之心的党和人民满意的好老师，教育部研究制定了《关于建立健全高校师德建设长效机制的意见》。</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2.问</w:t>
      </w:r>
      <w:r>
        <w:rPr>
          <w:rFonts w:hint="eastAsia" w:ascii="仿宋_GB2312" w:hAnsi="仿宋_GB2312" w:eastAsia="仿宋_GB2312" w:cs="仿宋_GB2312"/>
          <w:color w:val="000000"/>
          <w:sz w:val="21"/>
          <w:szCs w:val="21"/>
          <w:highlight w:val="none"/>
          <w:shd w:val="clear" w:color="auto" w:fill="FFFFFF"/>
        </w:rPr>
        <w:t>：高校师德建设复杂性、综合性很强，请问文件是如何形成的？</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答</w:t>
      </w:r>
      <w:r>
        <w:rPr>
          <w:rFonts w:hint="eastAsia" w:ascii="仿宋_GB2312" w:hAnsi="仿宋_GB2312" w:eastAsia="仿宋_GB2312" w:cs="仿宋_GB2312"/>
          <w:color w:val="000000"/>
          <w:sz w:val="21"/>
          <w:szCs w:val="21"/>
          <w:highlight w:val="none"/>
          <w:shd w:val="clear" w:color="auto" w:fill="FFFFFF"/>
        </w:rPr>
        <w:t>：为做好文件研制工作，2013年初设立以东北师范大学为牵头单位，全国有关领域优秀专家组成课题组，进行高校师德建设长效机制专项研究。在课题组对中外师德建设情况比较研究基础上，征集全国各地、各高校师德建设经验和做法，赴全国分别召开了7个省（区、市）教育部门和108所高校主管领导座谈会，重点访谈师德先进典型人物10余人，发出调查问卷近12000份，召开不同类型座谈会，广泛听取顾明远、林崇德、劳凯声等知名专家、省级教育部门和高校主要负责人意见，书面征求32个省级教育部门、75所部属高校党委书记、37所省属师范大学和部内政法司等12个相关司局的意见建议，对文稿多次讨论修改完善，形成文件。</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3．问</w:t>
      </w:r>
      <w:r>
        <w:rPr>
          <w:rFonts w:hint="eastAsia" w:ascii="仿宋_GB2312" w:hAnsi="仿宋_GB2312" w:eastAsia="仿宋_GB2312" w:cs="仿宋_GB2312"/>
          <w:color w:val="000000"/>
          <w:sz w:val="21"/>
          <w:szCs w:val="21"/>
          <w:highlight w:val="none"/>
          <w:shd w:val="clear" w:color="auto" w:fill="FFFFFF"/>
        </w:rPr>
        <w:t>：请谈一谈新时期高校师德建设工作的原则和要求。</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答：高校师德建设的基本原则是：做到“四个坚持”，即坚持价值引领，促进高校教师带头培育和践行社会主义核心价值观；坚持师德为上，增强高校师德建设的针对性和贴近性，培育高校教师高尚道德情操；坚持以人为本，激发高校教师的责任感使命感；坚持改进创新，增强高校师德建设的实际效果。高校师德建设的工作要求是：充分尊重高校教师主体地位，注重宣传教育、示范引领、实践养成相统一，政策保障、制度规范、法律约束相衔接，建立教育、宣传、考核、监督与奖惩相结合的高校师德建设工作机制，引导广大高校教师自尊自律自强，既做学问之师，又做品行之师。</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4．问</w:t>
      </w:r>
      <w:r>
        <w:rPr>
          <w:rFonts w:hint="eastAsia" w:ascii="仿宋_GB2312" w:hAnsi="仿宋_GB2312" w:eastAsia="仿宋_GB2312" w:cs="仿宋_GB2312"/>
          <w:color w:val="000000"/>
          <w:sz w:val="21"/>
          <w:szCs w:val="21"/>
          <w:highlight w:val="none"/>
          <w:shd w:val="clear" w:color="auto" w:fill="FFFFFF"/>
        </w:rPr>
        <w:t>：《意见》中的长效机制包括哪些方面。</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答</w:t>
      </w:r>
      <w:r>
        <w:rPr>
          <w:rFonts w:hint="eastAsia" w:ascii="仿宋_GB2312" w:hAnsi="仿宋_GB2312" w:eastAsia="仿宋_GB2312" w:cs="仿宋_GB2312"/>
          <w:color w:val="000000"/>
          <w:sz w:val="21"/>
          <w:szCs w:val="21"/>
          <w:highlight w:val="none"/>
          <w:shd w:val="clear" w:color="auto" w:fill="FFFFFF"/>
        </w:rPr>
        <w:t>：高校师德建设长效机制包括教育、宣传、考核、监督、激励和惩处相结合的六大机制。创新师德教育，引导教师树立崇高理想。将师德教育摆在高校教师培养首位，贯穿高校教师职业生涯全过程。创新师德教育理念、模式和手段。将优秀教师请进课堂，结合教学科研、社会服务活动开展师德教育，切实增强师德教育效果。加强师德宣传，培育重德养德良好风尚。将师德宣传作为高校宣传思想工作的重要组成部分。努力营造崇尚师德、争创师德典型的良好舆论环境和社会氛围。对于高校师德建设中出现的热点难点问题，及时应对并有效引导。健全师德考核，促进教师提高自身修养。将师德考核作为高校教师考核的重要内容。考核结果存入教师档案。师德考核不合格者年度考核应评定为不合格，并在教师职务（职称）评审、岗位聘用、评优奖励等环节实行一票否决。强化师德监督，有效防止师德失范行为。将师德建设作为高校教育质量督导评估重要内容。构建高校、教师、学生、家长和社会多方参与的师德监督体系。高校及主管部门建立师德投诉举报平台，及时掌握师德信息动态，及时纠正不良倾向和问题。注重师德激励，引导教师提升精神境界。将师德表现作为教师评先评优的首要条件。在同等条件下，师德表现突出的，在教师职务（职称）晋升和岗位聘用，研究生导师遴选，骨干教师、学科带头人和学科领军人物选培，各类高层次人才及资深教授、荣誉教授等评选中优先考虑。严格师德惩处，发挥制度规范约束作用。建立健全高校教师违反师德行为的惩处机制，划出对高校教师具有警示教育意义的师德禁行行为“红七条”， 对高校教师有“红七条”情形的，依法依规分别给予相应处分。建立问责机制，对教师严重违反师德行为造成不良影响或严重后果的，追究高校主要负责人的责任。</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5．问</w:t>
      </w:r>
      <w:r>
        <w:rPr>
          <w:rFonts w:hint="eastAsia" w:ascii="仿宋_GB2312" w:hAnsi="仿宋_GB2312" w:eastAsia="仿宋_GB2312" w:cs="仿宋_GB2312"/>
          <w:color w:val="000000"/>
          <w:sz w:val="21"/>
          <w:szCs w:val="21"/>
          <w:highlight w:val="none"/>
          <w:shd w:val="clear" w:color="auto" w:fill="FFFFFF"/>
        </w:rPr>
        <w:t>：《意见》的惩处机制中划出哪些师德禁行行为？</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答</w:t>
      </w:r>
      <w:r>
        <w:rPr>
          <w:rFonts w:hint="eastAsia" w:ascii="仿宋_GB2312" w:hAnsi="仿宋_GB2312" w:eastAsia="仿宋_GB2312" w:cs="仿宋_GB2312"/>
          <w:color w:val="000000"/>
          <w:sz w:val="21"/>
          <w:szCs w:val="21"/>
          <w:highlight w:val="none"/>
          <w:shd w:val="clear" w:color="auto" w:fill="FFFFFF"/>
        </w:rPr>
        <w:t>：《意见》划出对高校教师具有警示教育意义的师德禁行行为“红七条”，即：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对高校教师有“红七条”情形的，依法依规分别给予相应处分。</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6．问</w:t>
      </w:r>
      <w:r>
        <w:rPr>
          <w:rFonts w:hint="eastAsia" w:ascii="仿宋_GB2312" w:hAnsi="仿宋_GB2312" w:eastAsia="仿宋_GB2312" w:cs="仿宋_GB2312"/>
          <w:color w:val="000000"/>
          <w:sz w:val="21"/>
          <w:szCs w:val="21"/>
          <w:highlight w:val="none"/>
          <w:shd w:val="clear" w:color="auto" w:fill="FFFFFF"/>
        </w:rPr>
        <w:t>：《意见》为何要强调高校教师加强师德建设的自觉性？</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答</w:t>
      </w:r>
      <w:r>
        <w:rPr>
          <w:rFonts w:hint="eastAsia" w:ascii="仿宋_GB2312" w:hAnsi="仿宋_GB2312" w:eastAsia="仿宋_GB2312" w:cs="仿宋_GB2312"/>
          <w:color w:val="000000"/>
          <w:sz w:val="21"/>
          <w:szCs w:val="21"/>
          <w:highlight w:val="none"/>
          <w:shd w:val="clear" w:color="auto" w:fill="FFFFFF"/>
        </w:rPr>
        <w:t>：《意见》提出高校教师是高等学校办学的主体，也是师德建设的主体。只有高校教师的主体权益得到保障，切实落实和尊重教师在高校办学中的主体地位，才能激发教师的主人翁精神，增强教师的责任感和使命感，促进教师自觉地将他律转化为自律，做到自尊自强自爱，自觉捍卫职业尊严，珍惜教师声誉，提升师德境界。</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7．问</w:t>
      </w:r>
      <w:r>
        <w:rPr>
          <w:rFonts w:hint="eastAsia" w:ascii="仿宋_GB2312" w:hAnsi="仿宋_GB2312" w:eastAsia="仿宋_GB2312" w:cs="仿宋_GB2312"/>
          <w:color w:val="000000"/>
          <w:sz w:val="21"/>
          <w:szCs w:val="21"/>
          <w:highlight w:val="none"/>
          <w:shd w:val="clear" w:color="auto" w:fill="FFFFFF"/>
        </w:rPr>
        <w:t>：《意见》为何要明确高校师德建设工作的责任主体？</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答</w:t>
      </w:r>
      <w:r>
        <w:rPr>
          <w:rFonts w:hint="eastAsia" w:ascii="仿宋_GB2312" w:hAnsi="仿宋_GB2312" w:eastAsia="仿宋_GB2312" w:cs="仿宋_GB2312"/>
          <w:color w:val="000000"/>
          <w:sz w:val="21"/>
          <w:szCs w:val="21"/>
          <w:highlight w:val="none"/>
          <w:shd w:val="clear" w:color="auto" w:fill="FFFFFF"/>
        </w:rPr>
        <w:t>：高校师德建设工作一直以来都是各部门齐抓共管，没有明确责任人和牵头部门，导致谁都可以管，谁都管不好的现状。此次明确高校是师德建设的责任主体，主要负责人是师德建设的第一责任人，并要求高校明确牵头部门，由相关责任部门组成师德建设委员会。建立一岗双责的责任追究机制。</w:t>
      </w:r>
    </w:p>
    <w:p>
      <w:pPr>
        <w:pStyle w:val="9"/>
        <w:widowControl/>
        <w:shd w:val="clear" w:color="auto" w:fill="auto"/>
        <w:wordWrap/>
        <w:adjustRightInd/>
        <w:snapToGrid/>
        <w:spacing w:before="0" w:beforeAutospacing="0" w:after="0" w:afterAutospacing="0" w:line="320" w:lineRule="atLeast"/>
        <w:ind w:left="0" w:leftChars="0" w:right="0"/>
        <w:jc w:val="left"/>
        <w:textAlignment w:val="auto"/>
        <w:outlineLvl w:val="9"/>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shd w:val="clear" w:color="auto" w:fill="FFFFFF"/>
        </w:rPr>
        <w:t>　　</w:t>
      </w:r>
      <w:r>
        <w:rPr>
          <w:rStyle w:val="11"/>
          <w:rFonts w:hint="eastAsia" w:ascii="仿宋_GB2312" w:hAnsi="仿宋_GB2312" w:eastAsia="仿宋_GB2312" w:cs="仿宋_GB2312"/>
          <w:color w:val="000000"/>
          <w:sz w:val="21"/>
          <w:szCs w:val="21"/>
          <w:highlight w:val="none"/>
          <w:shd w:val="clear" w:color="auto" w:fill="FFFFFF"/>
        </w:rPr>
        <w:t>8．问</w:t>
      </w:r>
      <w:r>
        <w:rPr>
          <w:rFonts w:hint="eastAsia" w:ascii="仿宋_GB2312" w:hAnsi="仿宋_GB2312" w:eastAsia="仿宋_GB2312" w:cs="仿宋_GB2312"/>
          <w:color w:val="000000"/>
          <w:sz w:val="21"/>
          <w:szCs w:val="21"/>
          <w:highlight w:val="none"/>
          <w:shd w:val="clear" w:color="auto" w:fill="FFFFFF"/>
        </w:rPr>
        <w:t>：《意见》出台后，如何确保有关精神和要求落到实处？</w:t>
      </w:r>
    </w:p>
    <w:p>
      <w:pPr>
        <w:pStyle w:val="9"/>
        <w:widowControl/>
        <w:shd w:val="clear" w:color="auto" w:fill="auto"/>
        <w:wordWrap/>
        <w:adjustRightInd/>
        <w:snapToGrid/>
        <w:spacing w:before="0" w:beforeAutospacing="0" w:after="0" w:afterAutospacing="0" w:line="320" w:lineRule="atLeast"/>
        <w:ind w:left="0" w:leftChars="0" w:right="0" w:firstLine="420"/>
        <w:jc w:val="left"/>
        <w:textAlignment w:val="auto"/>
        <w:outlineLvl w:val="9"/>
        <w:rPr>
          <w:rFonts w:hint="eastAsia" w:ascii="仿宋_GB2312" w:hAnsi="仿宋_GB2312" w:eastAsia="仿宋_GB2312" w:cs="仿宋_GB2312"/>
          <w:kern w:val="2"/>
          <w:sz w:val="21"/>
          <w:szCs w:val="22"/>
          <w:highlight w:val="none"/>
          <w:lang w:val="en-US" w:eastAsia="zh-CN" w:bidi="ar-SA"/>
        </w:rPr>
      </w:pPr>
      <w:r>
        <w:rPr>
          <w:rStyle w:val="11"/>
          <w:rFonts w:hint="eastAsia" w:ascii="仿宋_GB2312" w:hAnsi="仿宋_GB2312" w:eastAsia="仿宋_GB2312" w:cs="仿宋_GB2312"/>
          <w:color w:val="000000"/>
          <w:sz w:val="21"/>
          <w:szCs w:val="21"/>
          <w:highlight w:val="none"/>
          <w:shd w:val="clear" w:color="auto" w:fill="FFFFFF"/>
        </w:rPr>
        <w:t>答</w:t>
      </w:r>
      <w:r>
        <w:rPr>
          <w:rFonts w:hint="eastAsia" w:ascii="仿宋_GB2312" w:hAnsi="仿宋_GB2312" w:eastAsia="仿宋_GB2312" w:cs="仿宋_GB2312"/>
          <w:color w:val="000000"/>
          <w:sz w:val="21"/>
          <w:szCs w:val="21"/>
          <w:highlight w:val="none"/>
          <w:shd w:val="clear" w:color="auto" w:fill="FFFFFF"/>
        </w:rPr>
        <w:t>：《意见》要求各地各校要根据实际制定具体的实施办法，并报上级主管部门备案，确保有关精神和要求落到实处。 </w:t>
      </w:r>
    </w:p>
    <w:sectPr>
      <w:headerReference r:id="rId12" w:type="first"/>
      <w:headerReference r:id="rId10" w:type="default"/>
      <w:footerReference r:id="rId13" w:type="default"/>
      <w:headerReference r:id="rId11" w:type="even"/>
      <w:pgSz w:w="11906" w:h="16838"/>
      <w:pgMar w:top="1417" w:right="1134" w:bottom="1417" w:left="1134"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E10002FF" w:usb1="4000ACFF" w:usb2="00000009" w:usb3="00000000" w:csb0="2000019F" w:csb1="00000000"/>
  </w:font>
  <w:font w:name="隶书">
    <w:altName w:val="宋体"/>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dobe 仿宋 Std R">
    <w:altName w:val="仿宋_GB2312"/>
    <w:panose1 w:val="00000000000000000000"/>
    <w:charset w:val="86"/>
    <w:family w:val="auto"/>
    <w:pitch w:val="default"/>
    <w:sig w:usb0="00000000" w:usb1="080F0000" w:usb2="00000010" w:usb3="00000000" w:csb0="00060007" w:csb1="00000000"/>
  </w:font>
  <w:font w:name="华文新魏">
    <w:altName w:val="宋体"/>
    <w:panose1 w:val="02010800040101010101"/>
    <w:charset w:val="86"/>
    <w:family w:val="auto"/>
    <w:pitch w:val="default"/>
    <w:sig w:usb0="00000001" w:usb1="080F0000" w:usb2="00000000" w:usb3="00000000" w:csb0="00040000" w:csb1="00000000"/>
  </w:font>
  <w:font w:name="方正隶二简体">
    <w:altName w:val="宋体"/>
    <w:panose1 w:val="00000000000000000000"/>
    <w:charset w:val="86"/>
    <w:family w:val="auto"/>
    <w:pitch w:val="default"/>
    <w:sig w:usb0="00000001" w:usb1="080E0000" w:usb2="00000010" w:usb3="00000000" w:csb0="00040000" w:csb1="00000000"/>
  </w:font>
  <w:font w:name="华文仿宋">
    <w:altName w:val="仿宋_GB2312"/>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00000287" w:usb1="00000000"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360"/>
      <w:jc w:val="center"/>
    </w:pPr>
    <w:r>
      <w:rPr>
        <w:rFonts w:ascii="宋体" w:hAnsi="宋体"/>
      </w:rPr>
      <w:fldChar w:fldCharType="begin"/>
    </w:r>
    <w:r>
      <w:instrText xml:space="preserve">PAGE   \* MERGEFORMAT</w:instrText>
    </w:r>
    <w:r>
      <w:fldChar w:fldCharType="separate"/>
    </w:r>
    <w:r>
      <w:rPr>
        <w:lang w:val="zh-CN"/>
      </w:rPr>
      <w:t>28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ind w:firstLine="0" w:firstLineChars="0"/>
      <w:jc w:val="both"/>
      <w:rPr>
        <w:rFonts w:ascii="宋体" w:hAnsi="宋体"/>
      </w:rPr>
    </w:pPr>
    <w:r>
      <w:rPr>
        <w:rFonts w:ascii="宋体" w:hAnsi="宋体" w:eastAsia="宋体" w:cs="黑体"/>
        <w:kern w:val="2"/>
        <w:sz w:val="18"/>
        <w:szCs w:val="18"/>
        <w:lang w:val="en-US" w:eastAsia="zh-CN" w:bidi="ar-SA"/>
      </w:rPr>
      <w:pict>
        <v:shape id="WordPictureWatermark28752580" o:spid="_x0000_s1025" type="#_x0000_t75" style="position:absolute;left:0;height:1090pt;width:1600pt;mso-position-horizontal:center;mso-position-horizontal-relative:margin;mso-position-vertical:center;mso-position-vertical-relative:margin;rotation:0f;z-index:-251655168;" o:ole="f" fillcolor="#FFFFFF" filled="f" o:preferrelative="t" stroked="f" coordorigin="0,0" coordsize="21600,21600" o:allowincell="f">
          <v:fill on="f" color2="#FFFFFF" focus="0%"/>
          <v:imagedata gain="19661f" blacklevel="22938f" gamma="0" o:title="1" r:id="rId1"/>
          <o:lock v:ext="edit" position="f" selection="f" grouping="f" rotation="f" cropping="f" text="f" aspectratio="t"/>
        </v:shape>
      </w:pict>
    </w:r>
    <w:r>
      <w:rPr>
        <w:rFonts w:ascii="宋体" w:hAnsi="宋体" w:eastAsia="宋体" w:cs="黑体"/>
        <w:kern w:val="2"/>
        <w:sz w:val="18"/>
        <w:szCs w:val="18"/>
        <w:lang w:val="en-US" w:eastAsia="zh-CN" w:bidi="ar-SA"/>
      </w:rPr>
      <w:pict>
        <v:shape id="Picture 3" o:spid="_x0000_s1026" type="#_x0000_t75" style="position:absolute;left:0;margin-left:-605.05pt;margin-top:-193.85pt;height:1090pt;width:1600pt;mso-position-horizontal-relative:margin;mso-position-vertical-relative:margin;rotation:0f;z-index:-251658240;" o:ole="f" fillcolor="#FFFFFF" filled="f" o:preferrelative="t" stroked="f" coordorigin="0,0" coordsize="21600,21600" o:allowincell="f">
          <v:fill on="f" color2="#FFFFFF" focus="0%"/>
          <v:imagedata gain="19661f" blacklevel="22938f" gamma="0" o:title="1" r:id="rId1"/>
          <o:lock v:ext="edit" position="f" selection="f" grouping="f" rotation="f" cropping="f" text="f"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60"/>
    </w:pPr>
    <w:r>
      <w:rPr>
        <w:rFonts w:ascii="Calibri" w:hAnsi="Calibri" w:eastAsia="宋体" w:cs="黑体"/>
        <w:kern w:val="2"/>
        <w:sz w:val="18"/>
        <w:szCs w:val="18"/>
        <w:lang w:val="en-US" w:eastAsia="zh-CN" w:bidi="ar-SA"/>
      </w:rPr>
      <w:pict>
        <v:shape id="WordPictureWatermark28752579" o:spid="_x0000_s1027" type="#_x0000_t75" style="position:absolute;left:0;height:1090pt;width:1600pt;mso-position-horizontal:center;mso-position-horizontal-relative:margin;mso-position-vertical:center;mso-position-vertical-relative:margin;rotation:0f;z-index:-251656192;" o:ole="f" fillcolor="#FFFFFF" filled="f" o:preferrelative="t" stroked="f" coordorigin="0,0" coordsize="21600,21600" o:allowincell="f">
          <v:fill on="f" color2="#FFFFFF" focus="0%"/>
          <v:imagedata gain="19661f" blacklevel="22938f" gamma="0" o:title="1" r:id="rId1"/>
          <o:lock v:ext="edit" position="f" selection="f" grouping="f" rotation="f" cropping="f" text="f"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60"/>
    </w:pPr>
    <w:r>
      <w:rPr>
        <w:rFonts w:ascii="Calibri" w:hAnsi="Calibri" w:eastAsia="宋体" w:cs="黑体"/>
        <w:kern w:val="2"/>
        <w:sz w:val="18"/>
        <w:szCs w:val="18"/>
        <w:lang w:val="en-US" w:eastAsia="zh-CN" w:bidi="ar-SA"/>
      </w:rPr>
      <w:pict>
        <v:shape id="WordPictureWatermark28752578" o:spid="_x0000_s1028" type="#_x0000_t75" style="position:absolute;left:0;height:1090pt;width:1600pt;mso-position-horizontal:center;mso-position-horizontal-relative:margin;mso-position-vertical:center;mso-position-vertical-relative:margin;rotation:0f;z-index:-251657216;" o:ole="f" fillcolor="#FFFFFF" filled="f" o:preferrelative="t" stroked="f" coordorigin="0,0" coordsize="21600,21600" o:allowincell="f">
          <v:fill on="f" color2="#FFFFFF" focus="0%"/>
          <v:imagedata gain="19661f" blacklevel="22938f" gamma="0" o:title="1" r:id="rId1"/>
          <o:lock v:ext="edit" position="f" selection="f" grouping="f" rotation="f" cropping="f" text="f"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bottom w:val="single" w:color="auto" w:sz="6" w:space="1"/>
      </w:pBdr>
      <w:tabs>
        <w:tab w:val="center" w:pos="4153"/>
        <w:tab w:val="right" w:pos="8306"/>
      </w:tabs>
      <w:snapToGrid w:val="0"/>
      <w:ind w:firstLine="360"/>
      <w:jc w:val="center"/>
    </w:pPr>
    <w:r>
      <w:rPr>
        <w:rFonts w:ascii="Times New Roman" w:hAnsi="Times New Roman" w:eastAsia="宋体" w:cs="Times New Roman"/>
        <w:kern w:val="0"/>
        <w:sz w:val="18"/>
        <w:szCs w:val="18"/>
        <w:lang w:val="en-US" w:eastAsia="zh-CN" w:bidi="ar-SA"/>
      </w:rPr>
      <w:pict>
        <v:shape id="WordPictureWatermark28752583" o:spid="_x0000_s1029" type="#_x0000_t75" style="position:absolute;left:0;height:1090pt;width:1600pt;mso-position-horizontal:center;mso-position-horizontal-relative:margin;mso-position-vertical:center;mso-position-vertical-relative:margin;rotation:0f;z-index:-251652096;" o:ole="f" fillcolor="#FFFFFF" filled="f" o:preferrelative="t" stroked="f" coordorigin="0,0" coordsize="21600,21600" o:allowincell="f">
          <v:fill on="f" color2="#FFFFFF" focus="0%"/>
          <v:imagedata gain="19661f" blacklevel="22938f" gamma="0" o:title="1" r:id="rId1"/>
          <o:lock v:ext="edit" position="f" selection="f" grouping="f" rotation="f" cropping="f" text="f" aspectratio="t"/>
        </v:shape>
      </w:pict>
    </w:r>
    <w:r>
      <w:rPr>
        <w:rFonts w:hint="eastAsia" w:ascii="Times New Roman" w:hAnsi="Times New Roman" w:cs="Times New Roman"/>
        <w:kern w:val="0"/>
        <w:sz w:val="18"/>
        <w:szCs w:val="18"/>
      </w:rPr>
      <w:t>安徽三联学院教学简报</w:t>
    </w:r>
    <w:r>
      <w:rPr>
        <w:rFonts w:ascii="Times New Roman" w:hAnsi="Times New Roman" w:cs="Times New Roman"/>
        <w:kern w:val="0"/>
        <w:sz w:val="18"/>
        <w:szCs w:val="18"/>
      </w:rPr>
      <w:t xml:space="preserve">                                                2014</w:t>
    </w:r>
    <w:r>
      <w:rPr>
        <w:rFonts w:hint="eastAsia" w:ascii="Times New Roman" w:hAnsi="Times New Roman" w:cs="Times New Roman"/>
        <w:kern w:val="0"/>
        <w:sz w:val="18"/>
        <w:szCs w:val="18"/>
      </w:rPr>
      <w:t>年第</w:t>
    </w:r>
    <w:r>
      <w:rPr>
        <w:rFonts w:hint="eastAsia" w:ascii="Times New Roman" w:hAnsi="Times New Roman" w:cs="Times New Roman"/>
        <w:kern w:val="0"/>
        <w:sz w:val="18"/>
        <w:szCs w:val="18"/>
        <w:lang w:val="en-US" w:eastAsia="zh-CN"/>
      </w:rPr>
      <w:t>8</w:t>
    </w:r>
    <w:r>
      <w:rPr>
        <w:rFonts w:hint="eastAsia" w:ascii="Times New Roman" w:hAnsi="Times New Roman" w:cs="Times New Roman"/>
        <w:kern w:val="0"/>
        <w:sz w:val="18"/>
        <w:szCs w:val="18"/>
      </w:rPr>
      <w:t>期（总第</w:t>
    </w:r>
    <w:r>
      <w:rPr>
        <w:rFonts w:ascii="Times New Roman" w:hAnsi="Times New Roman" w:cs="Times New Roman"/>
        <w:kern w:val="0"/>
        <w:sz w:val="18"/>
        <w:szCs w:val="18"/>
      </w:rPr>
      <w:t>2</w:t>
    </w:r>
    <w:r>
      <w:rPr>
        <w:rFonts w:hint="eastAsia" w:ascii="Times New Roman" w:hAnsi="Times New Roman" w:cs="Times New Roman"/>
        <w:kern w:val="0"/>
        <w:sz w:val="18"/>
        <w:szCs w:val="18"/>
        <w:lang w:val="en-US" w:eastAsia="zh-CN"/>
      </w:rPr>
      <w:t>5</w:t>
    </w:r>
    <w:r>
      <w:rPr>
        <w:rFonts w:hint="eastAsia" w:ascii="Times New Roman" w:hAnsi="Times New Roman" w:cs="Times New Roman"/>
        <w:kern w:val="0"/>
        <w:sz w:val="18"/>
        <w:szCs w:val="18"/>
      </w:rPr>
      <w:t>期）</w:t>
    </w:r>
  </w:p>
  <w:p>
    <w:pPr>
      <w:pStyle w:val="8"/>
      <w:pBdr>
        <w:bottom w:val="none" w:color="auto" w:sz="0" w:space="0"/>
      </w:pBdr>
      <w:ind w:firstLine="0" w:firstLineChars="0"/>
      <w:jc w:val="both"/>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60"/>
    </w:pPr>
    <w:r>
      <w:rPr>
        <w:rFonts w:ascii="Calibri" w:hAnsi="Calibri" w:eastAsia="宋体" w:cs="黑体"/>
        <w:kern w:val="2"/>
        <w:sz w:val="18"/>
        <w:szCs w:val="18"/>
        <w:lang w:val="en-US" w:eastAsia="zh-CN" w:bidi="ar-SA"/>
      </w:rPr>
      <w:pict>
        <v:shape id="WordPictureWatermark28752582" o:spid="_x0000_s1030" type="#_x0000_t75" style="position:absolute;left:0;height:1090pt;width:1600pt;mso-position-horizontal:center;mso-position-horizontal-relative:margin;mso-position-vertical:center;mso-position-vertical-relative:margin;rotation:0f;z-index:-251653120;" o:ole="f" fillcolor="#FFFFFF" filled="f" o:preferrelative="t" stroked="f" coordorigin="0,0" coordsize="21600,21600" o:allowincell="f">
          <v:fill on="f" color2="#FFFFFF" focus="0%"/>
          <v:imagedata gain="19661f" blacklevel="22938f" gamma="0" o:title="1" r:id="rId1"/>
          <o:lock v:ext="edit" position="f" selection="f" grouping="f" rotation="f" cropping="f" text="f"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60"/>
    </w:pPr>
    <w:r>
      <w:rPr>
        <w:rFonts w:ascii="Calibri" w:hAnsi="Calibri" w:eastAsia="宋体" w:cs="黑体"/>
        <w:kern w:val="2"/>
        <w:sz w:val="18"/>
        <w:szCs w:val="18"/>
        <w:lang w:val="en-US" w:eastAsia="zh-CN" w:bidi="ar-SA"/>
      </w:rPr>
      <w:pict>
        <v:shape id="WordPictureWatermark28752581" o:spid="_x0000_s1031" type="#_x0000_t75" style="position:absolute;left:0;height:1090pt;width:1600pt;mso-position-horizontal:center;mso-position-horizontal-relative:margin;mso-position-vertical:center;mso-position-vertical-relative:margin;rotation:0f;z-index:-251654144;" o:ole="f" fillcolor="#FFFFFF" filled="f" o:preferrelative="t" stroked="f" coordorigin="0,0" coordsize="21600,21600" o:allowincell="f">
          <v:fill on="f" color2="#FFFFFF" focus="0%"/>
          <v:imagedata gain="19661f" blacklevel="22938f" gamma="0" o:title="1" r:id="rId1"/>
          <o:lock v:ext="edit" position="f" selection="f" grouping="f" rotation="f" cropping="f" text="f"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172A27"/>
    <w:rsid w:val="00991FEE"/>
    <w:rsid w:val="00FB72FB"/>
    <w:rsid w:val="00FC28E6"/>
    <w:rsid w:val="01582BC2"/>
    <w:rsid w:val="02890D36"/>
    <w:rsid w:val="05CC0E93"/>
    <w:rsid w:val="07E618B3"/>
    <w:rsid w:val="0B7B7DE4"/>
    <w:rsid w:val="0E1B1632"/>
    <w:rsid w:val="0EFF09AB"/>
    <w:rsid w:val="0F773AEC"/>
    <w:rsid w:val="10863CAA"/>
    <w:rsid w:val="12845CEE"/>
    <w:rsid w:val="1B4578F9"/>
    <w:rsid w:val="23443CE8"/>
    <w:rsid w:val="23796741"/>
    <w:rsid w:val="253173D2"/>
    <w:rsid w:val="255114EE"/>
    <w:rsid w:val="26926BC9"/>
    <w:rsid w:val="26D32C40"/>
    <w:rsid w:val="29F74A66"/>
    <w:rsid w:val="2B470F10"/>
    <w:rsid w:val="2D452F54"/>
    <w:rsid w:val="30062758"/>
    <w:rsid w:val="32D33B70"/>
    <w:rsid w:val="334546B0"/>
    <w:rsid w:val="343615A3"/>
    <w:rsid w:val="34630E03"/>
    <w:rsid w:val="36632192"/>
    <w:rsid w:val="36D9180C"/>
    <w:rsid w:val="3FF54D36"/>
    <w:rsid w:val="44CC63EF"/>
    <w:rsid w:val="463C1AB7"/>
    <w:rsid w:val="49245B8F"/>
    <w:rsid w:val="4D1B2411"/>
    <w:rsid w:val="4F871206"/>
    <w:rsid w:val="50465F5A"/>
    <w:rsid w:val="519C012A"/>
    <w:rsid w:val="53F058C2"/>
    <w:rsid w:val="558127D5"/>
    <w:rsid w:val="558C43EA"/>
    <w:rsid w:val="55AC6C60"/>
    <w:rsid w:val="584E3BED"/>
    <w:rsid w:val="59870472"/>
    <w:rsid w:val="5AA31EC3"/>
    <w:rsid w:val="5AC00150"/>
    <w:rsid w:val="5E1D0E75"/>
    <w:rsid w:val="62441245"/>
    <w:rsid w:val="64FA7C33"/>
    <w:rsid w:val="65156DCD"/>
    <w:rsid w:val="66007D67"/>
    <w:rsid w:val="66A27570"/>
    <w:rsid w:val="68344483"/>
    <w:rsid w:val="68EC3C32"/>
    <w:rsid w:val="6C7C2B89"/>
    <w:rsid w:val="6F136B19"/>
    <w:rsid w:val="75C35B44"/>
    <w:rsid w:val="785712BD"/>
    <w:rsid w:val="7AFC2853"/>
    <w:rsid w:val="7BE06349"/>
    <w:rsid w:val="7C99137B"/>
    <w:rsid w:val="7D883202"/>
    <w:rsid w:val="7E8B17A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spacing w:line="320" w:lineRule="exact"/>
      <w:ind w:firstLine="200" w:firstLineChars="200"/>
      <w:jc w:val="both"/>
    </w:pPr>
    <w:rPr>
      <w:rFonts w:ascii="Calibri" w:hAnsi="Calibri" w:eastAsia="宋体" w:cs="黑体"/>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tLeast"/>
      <w:outlineLvl w:val="0"/>
    </w:pPr>
    <w:rPr>
      <w:b/>
      <w:bCs/>
      <w:kern w:val="44"/>
      <w:sz w:val="44"/>
      <w:szCs w:val="44"/>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SA"/>
    </w:rPr>
  </w:style>
  <w:style w:type="character" w:default="1" w:styleId="10">
    <w:name w:val="Default Paragraph Font"/>
    <w:unhideWhenUsed/>
    <w:uiPriority w:val="1"/>
  </w:style>
  <w:style w:type="table" w:default="1" w:styleId="14">
    <w:name w:val="Normal Table"/>
    <w:unhideWhenUsed/>
    <w:qFormat/>
    <w:uiPriority w:val="99"/>
    <w:tblPr>
      <w:tblStyle w:val="14"/>
      <w:tblLayout w:type="fixed"/>
      <w:tblCellMar>
        <w:top w:w="0" w:type="dxa"/>
        <w:left w:w="108" w:type="dxa"/>
        <w:bottom w:w="0" w:type="dxa"/>
        <w:right w:w="108" w:type="dxa"/>
      </w:tblCellMar>
    </w:tblPr>
    <w:tcPr>
      <w:textDirection w:val="lrTb"/>
    </w:tcPr>
  </w:style>
  <w:style w:type="paragraph" w:styleId="4">
    <w:name w:val="annotation subject"/>
    <w:basedOn w:val="5"/>
    <w:next w:val="5"/>
    <w:link w:val="19"/>
    <w:unhideWhenUsed/>
    <w:uiPriority w:val="99"/>
    <w:rPr>
      <w:b/>
      <w:bCs/>
    </w:rPr>
  </w:style>
  <w:style w:type="paragraph" w:styleId="5">
    <w:name w:val="annotation text"/>
    <w:basedOn w:val="1"/>
    <w:link w:val="18"/>
    <w:unhideWhenUsed/>
    <w:uiPriority w:val="99"/>
    <w:pPr>
      <w:jc w:val="left"/>
    </w:pPr>
  </w:style>
  <w:style w:type="paragraph" w:styleId="6">
    <w:name w:val="Balloon Text"/>
    <w:basedOn w:val="1"/>
    <w:link w:val="17"/>
    <w:unhideWhenUsed/>
    <w:uiPriority w:val="99"/>
    <w:pPr>
      <w:spacing w:line="240" w:lineRule="auto"/>
    </w:pPr>
    <w:rPr>
      <w:sz w:val="18"/>
      <w:szCs w:val="18"/>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spacing w:before="100" w:beforeAutospacing="1" w:after="100" w:afterAutospacing="1" w:line="240" w:lineRule="auto"/>
      <w:ind w:firstLine="0" w:firstLineChars="0"/>
      <w:jc w:val="left"/>
    </w:pPr>
    <w:rPr>
      <w:rFonts w:ascii="宋体" w:hAnsi="宋体" w:cs="宋体"/>
      <w:kern w:val="0"/>
      <w:sz w:val="24"/>
      <w:szCs w:val="24"/>
    </w:rPr>
  </w:style>
  <w:style w:type="character" w:styleId="11">
    <w:name w:val="Strong"/>
    <w:basedOn w:val="10"/>
    <w:qFormat/>
    <w:uiPriority w:val="22"/>
    <w:rPr>
      <w:b/>
      <w:bCs/>
    </w:rPr>
  </w:style>
  <w:style w:type="character" w:styleId="12">
    <w:name w:val="Hyperlink"/>
    <w:basedOn w:val="10"/>
    <w:unhideWhenUsed/>
    <w:uiPriority w:val="0"/>
    <w:rPr>
      <w:color w:val="0000FF"/>
      <w:u w:val="single"/>
    </w:rPr>
  </w:style>
  <w:style w:type="character" w:styleId="13">
    <w:name w:val="annotation reference"/>
    <w:basedOn w:val="10"/>
    <w:unhideWhenUsed/>
    <w:uiPriority w:val="99"/>
    <w:rPr>
      <w:sz w:val="21"/>
      <w:szCs w:val="21"/>
    </w:rPr>
  </w:style>
  <w:style w:type="character" w:customStyle="1" w:styleId="15">
    <w:name w:val="页眉 Char"/>
    <w:basedOn w:val="10"/>
    <w:link w:val="8"/>
    <w:uiPriority w:val="99"/>
    <w:rPr>
      <w:sz w:val="18"/>
      <w:szCs w:val="18"/>
    </w:rPr>
  </w:style>
  <w:style w:type="character" w:customStyle="1" w:styleId="16">
    <w:name w:val="页脚 Char"/>
    <w:basedOn w:val="10"/>
    <w:link w:val="7"/>
    <w:uiPriority w:val="99"/>
    <w:rPr>
      <w:sz w:val="18"/>
      <w:szCs w:val="18"/>
    </w:rPr>
  </w:style>
  <w:style w:type="character" w:customStyle="1" w:styleId="17">
    <w:name w:val="批注框文本 Char"/>
    <w:basedOn w:val="10"/>
    <w:link w:val="6"/>
    <w:semiHidden/>
    <w:uiPriority w:val="99"/>
    <w:rPr>
      <w:rFonts w:ascii="Calibri" w:hAnsi="Calibri" w:eastAsia="宋体" w:cs="黑体"/>
      <w:sz w:val="18"/>
      <w:szCs w:val="18"/>
    </w:rPr>
  </w:style>
  <w:style w:type="character" w:customStyle="1" w:styleId="18">
    <w:name w:val="批注文字 Char"/>
    <w:basedOn w:val="10"/>
    <w:link w:val="5"/>
    <w:semiHidden/>
    <w:uiPriority w:val="99"/>
    <w:rPr>
      <w:rFonts w:ascii="Calibri" w:hAnsi="Calibri" w:eastAsia="宋体" w:cs="黑体"/>
    </w:rPr>
  </w:style>
  <w:style w:type="character" w:customStyle="1" w:styleId="19">
    <w:name w:val="批注主题 Char"/>
    <w:basedOn w:val="18"/>
    <w:link w:val="4"/>
    <w:semiHidden/>
    <w:uiPriority w:val="99"/>
    <w:rPr>
      <w:rFonts w:ascii="Calibri" w:hAnsi="Calibri" w:eastAsia="宋体" w:cs="黑体"/>
      <w:b/>
      <w:bCs/>
    </w:rPr>
  </w:style>
  <w:style w:type="character" w:customStyle="1" w:styleId="20">
    <w:name w:val="apple-converted-space"/>
    <w:basedOn w:val="10"/>
    <w:uiPriority w:val="0"/>
    <w:rPr/>
  </w:style>
  <w:style w:type="character" w:customStyle="1" w:styleId="21">
    <w:name w:val="gongkai_content_2_title1"/>
    <w:basedOn w:val="10"/>
    <w:uiPriority w:val="0"/>
    <w:rPr>
      <w:rFonts w:hint="eastAsia" w:ascii="黑体" w:hAnsi="黑体" w:eastAsia="黑体"/>
      <w:b/>
      <w:bCs/>
      <w:sz w:val="28"/>
      <w:szCs w:val="28"/>
    </w:rPr>
  </w:style>
  <w:style w:type="character" w:customStyle="1" w:styleId="22">
    <w:name w:val="style11"/>
    <w:basedOn w:val="10"/>
    <w:uiPriority w:val="0"/>
    <w:rPr>
      <w:b/>
      <w:bCs/>
      <w:sz w:val="22"/>
      <w:szCs w:val="22"/>
    </w:rPr>
  </w:style>
  <w:style w:type="character" w:customStyle="1" w:styleId="23">
    <w:name w:val="标题 1 Char"/>
    <w:basedOn w:val="10"/>
    <w:link w:val="2"/>
    <w:uiPriority w:val="9"/>
    <w:rPr>
      <w:rFonts w:ascii="Calibri" w:hAnsi="Calibri" w:cs="黑体"/>
      <w:b/>
      <w:bCs/>
      <w:kern w:val="44"/>
      <w:sz w:val="44"/>
      <w:szCs w:val="44"/>
    </w:rPr>
  </w:style>
  <w:style w:type="character" w:customStyle="1" w:styleId="24">
    <w:name w:val="font31"/>
    <w:basedOn w:val="10"/>
    <w:uiPriority w:val="0"/>
    <w:rPr>
      <w:rFonts w:hint="eastAsia" w:ascii="宋体" w:hAnsi="宋体" w:eastAsia="宋体" w:cs="宋体"/>
      <w:color w:val="000000"/>
      <w:sz w:val="21"/>
      <w:szCs w:val="21"/>
    </w:rPr>
  </w:style>
  <w:style w:type="character" w:customStyle="1" w:styleId="25">
    <w:name w:val="font81"/>
    <w:basedOn w:val="10"/>
    <w:uiPriority w:val="0"/>
    <w:rPr>
      <w:rFonts w:hint="eastAsia" w:ascii="宋体" w:hAnsi="宋体" w:eastAsia="宋体" w:cs="宋体"/>
      <w:color w:val="000000"/>
      <w:sz w:val="21"/>
      <w:szCs w:val="21"/>
    </w:rPr>
  </w:style>
  <w:style w:type="character" w:customStyle="1" w:styleId="26">
    <w:name w:val="font61"/>
    <w:basedOn w:val="10"/>
    <w:uiPriority w:val="0"/>
    <w:rPr>
      <w:rFonts w:hint="eastAsia" w:ascii="宋体" w:hAnsi="宋体" w:eastAsia="宋体" w:cs="宋体"/>
      <w:color w:val="000000"/>
      <w:sz w:val="21"/>
      <w:szCs w:val="21"/>
    </w:rPr>
  </w:style>
  <w:style w:type="character" w:customStyle="1" w:styleId="27">
    <w:name w:val="font51"/>
    <w:basedOn w:val="10"/>
    <w:uiPriority w:val="0"/>
    <w:rPr>
      <w:rFonts w:hint="default" w:ascii="Times New Roman" w:hAnsi="Times New Roman" w:cs="Times New Roman"/>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www.xdngs.com</Company>
  <Pages>30</Pages>
  <Words>5258</Words>
  <Characters>29974</Characters>
  <Lines>249</Lines>
  <Paragraphs>70</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2014-09-16T06:58:00Z</dcterms:created>
  <dc:creator>jwc</dc:creator>
  <cp:lastModifiedBy>Administrator</cp:lastModifiedBy>
  <cp:lastPrinted>2014-09-16T08:08:00Z</cp:lastPrinted>
  <dcterms:modified xsi:type="dcterms:W3CDTF">2015-03-28T02:08:08Z</dcterms:modified>
  <dc:title>教 学 简 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